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7B_1387/2025 vom 5. Januar 2026</w:t>
      </w:r>
    </w:p>
    <w:p>
      <w:r>
        <w:t>Bundesgericht, 2026-01-05, DE</w:t>
      </w:r>
    </w:p>
    <w:p>
      <w:r>
        <w:rPr>
          <w:b/>
        </w:rPr>
        <w:t xml:space="preserve">Quelle: </w:t>
      </w:r>
      <w:r>
        <w:t>https://mcp.opencaselaw.ch/entscheid/bger_7B_1387_2025</w:t>
      </w:r>
    </w:p>
    <w:p>
      <w:r>
        <w:t>FR: TF 7B_1387/2025 du 5 janvier 2026</w:t>
      </w:r>
    </w:p>
    <w:p>
      <w:r>
        <w:t>IT: TF 7B_1387/2025 del 5 gennaio 2026</w:t>
      </w:r>
    </w:p>
    <w:p>
      <w:pPr>
        <w:pStyle w:val="Heading2"/>
      </w:pPr>
      <w:r>
        <w:t>Erwägungen</w:t>
      </w:r>
    </w:p>
    <w:p>
      <w:r>
        <w:rPr>
          <w:b/>
        </w:rPr>
        <w:t>E. 1</w:t>
      </w:r>
    </w:p>
    <w:p>
      <w:r>
        <w:t>Die Staatsanwaltschaft des Kantons Graubünden führt eine Strafuntersuchung gegen A.________. Im Rahmen dieser Untersuchung versetzte ihn das Zwangsmassnahmengericht des Kantons Graubünden mit Entscheid vom 30. Januar 2025 in Untersuchungshaft, diese wurde mehrfach verlängert. Zuletzt mit Entscheid vom 27. Oktober 2025 bis zum 26. Januar 2026. Auf eine dagegen von A.________ eigenständig erhobene Beschwerde trat das Obergericht des Kantons Graubünden am 24. November 2025 nicht ein. Mit Eingabe vom 19. Dezember 2025 (Posteingang) erhebt A.________ selbstständig Beschwerde in Strafsachen an das Bundesgericht.</w:t>
      </w:r>
    </w:p>
    <w:p>
      <w:r>
        <w:rPr>
          <w:b/>
        </w:rPr>
        <w:t>E. 2.1</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rPr>
          <w:b/>
        </w:rPr>
        <w:t>E. 2.2</w:t>
      </w:r>
    </w:p>
    <w:p>
      <w:r>
        <w:t>Der Beschwerdeführer setzt sich mit den Erwägungen der Vorinstanz nicht in einer den Begründungsanforderungen genügenden Weise auseinander. Seine Vorbringen erschöpfen sich im Wesentlichen in appellatorischer Kritik am vorinstanzlichen Nichteintretensentscheid. Er beschränkt sich darauf, pauschal geltend zu machen, er befinde sich seit über zehn Monaten in Haft und sei aus dieser zu entlassen, das sei keine Gerechtigkeit. Darüber hinaus macht er umfangreiche, teilweise schwer nachvollziehbare Ausführungen zu den ihm vorgeworfenen Straftaten sowie zu seinem eigenen Drogenkonsum beziehungsweise zu jenem Dritter. Die Beschwerdeschrift ist insgesamt wenig strukturiert und in weiten Teilen ohne klaren Bezug zum angefochtenen Entscheid. Der Beschwerdeführer äussert sich vorwiegend zu materiellen Aspekten des hängigen Strafverfahrens und macht Ausführungen zum Vorgehen der Strafverfolgungsbehörden sowie zu seinem früheren Rechtsvertreter, den er mittlerweile gewechselt hat, ohne darzulegen, inwiefern diese Gesichtspunkte für die Beurteilung des vorinstanzlichen Nichteintretensentscheids erheblich sein sollen. Mit seinen Ausführungen zeigt der Beschwerdeführer nicht hinreichend substanziiert auf, inwiefern die Vorinstanz, die nicht auf die Beschwerde eingetreten ist, diese rechtswidrig behandelt hätte und inwiefern ihre Begründung bzw. der Entscheid selbst rechts- bzw. verfassungswidrig sein soll. Seine Einwände bleiben damit appellatorischer Natur, was vor Bundesgericht unzulässig ist (vgl. E. 2.1 hiervor). Die Beschwerde genügt den gesetzlichen Formerfordernissen offensichtlich nicht, weshalb darauf im vereinfachten Verfahren nach Art. 108 Abs. 1 BGG nicht einzutreten ist.</w:t>
      </w:r>
    </w:p>
    <w:p>
      <w:r>
        <w:rPr>
          <w:b/>
        </w:rPr>
        <w:t>E. 3</w:t>
      </w:r>
    </w:p>
    <w:p>
      <w:r>
        <w:t>Bei diesem Verfahrensausgang sind die Gerichtskosten dem Beschwerdeführer aufzuerlegen ( Art. 66 Abs. 1 BGG ). Seiner angespannten finanziellen Lage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