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7B_1382/2025 vom 16. Januar 2026</w:t>
      </w:r>
    </w:p>
    <w:p>
      <w:r>
        <w:t>Bundesgericht, 2026-01-16, FR</w:t>
      </w:r>
    </w:p>
    <w:p>
      <w:r>
        <w:rPr>
          <w:b/>
        </w:rPr>
        <w:t xml:space="preserve">Quelle: </w:t>
      </w:r>
      <w:r>
        <w:t>https://mcp.opencaselaw.ch/entscheid/bger_7B_1382_2025</w:t>
      </w:r>
    </w:p>
    <w:p>
      <w:r>
        <w:t>FR: TF 7B_1382/2025 du 16 janvier 2026</w:t>
      </w:r>
    </w:p>
    <w:p>
      <w:r>
        <w:t>IT: TF 7B_1382/2025 del 16 gennaio 2026</w:t>
      </w:r>
    </w:p>
    <w:p>
      <w:pPr>
        <w:pStyle w:val="Heading2"/>
      </w:pPr>
      <w:r>
        <w:t>Erwägungen</w:t>
      </w:r>
    </w:p>
    <w:p>
      <w:r>
        <w:rPr>
          <w:b/>
        </w:rPr>
        <w:t>E. 1</w:t>
      </w:r>
    </w:p>
    <w:p>
      <w:r>
        <w:t>Selon l' art. 42 al. 1 LTF , les mémoires de recours au Tribunal fédéral doivent indiquer les conclusions, les motifs et les moyens de preuves,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 ATF 123 V 335 ). Dans son recours, le recourant se contente de présenter sa version des faits l'ayant conduit à déposer plainte pénale. Il ne discute ainsi aucunement l'arrêt attaqué qui déclare son recours irrecevable faute de paiement de l'avance de frais dans le délai imparti.</w:t>
      </w:r>
    </w:p>
    <w:p>
      <w:r>
        <w:rPr>
          <w:b/>
        </w:rPr>
        <w:t>E. 2</w:t>
      </w:r>
    </w:p>
    <w:p>
      <w:r>
        <w:t>Ne répondant ainsi manifestement pas aux exigences de motivation d'un recours en matière pénale au Tribunal fédéral, le recours doit être déclaré irrecevable selon la procédure simplifiée prévue par l' art. 108 al. 1 let. b LTF . Au vu des particularités du cas d'espèce, le Tribunal fédéral renoncera exceptionnellement à mettre les frais judiciaires à la charge du recourant (cf. art. 66 al. 1re phrase LTF). Dès lors que le recourant, domicilié à l'étranger, n'a pas élu de domicile de notification en Suisse, le Tribunal fédéral s'abstiendra de lui notifier cet arrêt et conservera à sa disposition l'exemplaire qui lui est destiné (cf. art. 39 al. 3 LTF ; arrêt 7B_403/2025 du 2 juin 2025 consid.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