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7B_1381/2024 vom 13. Januar 2025</w:t>
      </w:r>
    </w:p>
    <w:p>
      <w:r>
        <w:t>Bundesgericht, 2025-01-13, FR</w:t>
      </w:r>
    </w:p>
    <w:p>
      <w:r>
        <w:rPr>
          <w:b/>
        </w:rPr>
        <w:t xml:space="preserve">Quelle: </w:t>
      </w:r>
      <w:r>
        <w:t>https://mcp.opencaselaw.ch/entscheid/bger_7B_1381_2024</w:t>
      </w:r>
    </w:p>
    <w:p>
      <w:r>
        <w:t>FR: TF 7B_1381/2024 du 13 janvier 2025</w:t>
      </w:r>
    </w:p>
    <w:p>
      <w:r>
        <w:t>IT: TF 7B_1381/2024 del 13 gennaio 2025</w:t>
      </w:r>
    </w:p>
    <w:p>
      <w:pPr>
        <w:pStyle w:val="Heading2"/>
      </w:pPr>
      <w:r>
        <w:t>Erwägungen</w:t>
      </w:r>
    </w:p>
    <w:p>
      <w:r>
        <w:rPr>
          <w:b/>
        </w:rPr>
        <w:t>E. 1</w:t>
      </w:r>
    </w:p>
    <w:p>
      <w:r>
        <w:t>Par avis du 11 décembre 2024, les parties ont été informées de la transmission du recours à la II e Cour de droit pénal en application d'une décision prise par la Commission administrative du Tribunal fédéral fondée sur l' art. 12 al. 1 let . c du Règlement du Tribunal fédéral (RTF; RS 173.110.131).</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t>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même succinctement, en quoi ceux-ci méconnaissent le droit selon lui. Le recourant ne saurait se contenter de renvoyer aux actes cantonaux ou de reproduire la motivation déjà présentée dans la procédure cantonale ( ATF 134 II 244 consid. 2.1-2.3).</w:t>
      </w:r>
    </w:p>
    <w:p>
      <w:r>
        <w:rPr>
          <w:b/>
        </w:rPr>
        <w:t>E. 2.2</w:t>
      </w:r>
    </w:p>
    <w:p>
      <w:r>
        <w:t>En l'espèce, le recourant se contente, par son courrier du 11 juin 2024, d'évoquer son intention de recourir au Tribunal fédéral contre le jugement querellé. Dans son écriture du 24 juin 2024, intitulée "déclaration d'appel", il se borne ensuite à reproduire mot pour mot, dans sa quasi-intégralité, le mémoire d'appel qui avait été rédigé par son défenseur, en modifiant d'un point de vue formel l'autorité précédente ainsi que la décision attaquée et en rédigeant à la première personne. Ce faisant, son argumentation est identique à celle qu'il avait déjà faite valoir devant l'autorité précédente aux termes de sa déclaration d'appel du 20 novembre 2023. Il ne développe en effet aucun argument spécifique, ses quelques ajouts se limitant à des éléments en lien avec son fils et sa relation avec celui-ci, voire avec son épouse, lesquels ont déjà été soulevés en procédure d'appel et examinés par la cour cantonale.</w:t>
      </w:r>
    </w:p>
    <w:p>
      <w:r>
        <w:t>Aussi, en ne discutant pas les motifs du jugement attaqué et en se limitant au surplus à quelques critiques purement appellatoires, le recourant ne propose aucune motivation, conforme aux exigences en la matière, propre à exposer et à démontrer en quoi l'autorité précédente aurait violé le droit fédéral en rejetant son appel.</w:t>
      </w:r>
    </w:p>
    <w:p>
      <w:r>
        <w:rPr>
          <w:b/>
        </w:rPr>
        <w:t>E. 2.3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3</w:t>
      </w:r>
    </w:p>
    <w:p>
      <w:r>
        <w:t>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