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7B_1380/2024 vom 14. April 2026</w:t>
      </w:r>
    </w:p>
    <w:p>
      <w:r>
        <w:t>Bundesgericht, 2026-04-14, FR</w:t>
      </w:r>
    </w:p>
    <w:p>
      <w:r>
        <w:rPr>
          <w:b/>
        </w:rPr>
        <w:t xml:space="preserve">Quelle: </w:t>
      </w:r>
      <w:r>
        <w:t>https://mcp.opencaselaw.ch/entscheid/bger_7B_1380_2024</w:t>
      </w:r>
    </w:p>
    <w:p>
      <w:r>
        <w:t>FR: TF 7B_1380/2024 du 14 avril 2026</w:t>
      </w:r>
    </w:p>
    <w:p>
      <w:r>
        <w:t>IT: TF 7B_1380/2024 del 14 aprile 2026</w:t>
      </w:r>
    </w:p>
    <w:p>
      <w:pPr>
        <w:pStyle w:val="Heading2"/>
      </w:pPr>
      <w:r>
        <w:t>Erwägungen</w:t>
      </w:r>
    </w:p>
    <w:p>
      <w:r>
        <w:rPr>
          <w:b/>
        </w:rPr>
        <w:t>E. 1</w:t>
      </w:r>
    </w:p>
    <w:p>
      <w:r>
        <w:t>Dirigé contre une décision finale (cf. art. 90 LTF ) rendue en dernière instance cantonale (cf. art. 80 al. 1 LTF ) dans une cause pénale, le recours est recevable comme recours en matière pénale au sens des art. 78 ss LTF . Le recourant, prévenu, qui a pris part à la procédure devant l'autorité précédente et a un intérêt juridique à l'annulation ou à la modification de la décision attaquée, a la qualité pour recourir au sens de l' art. 81 al. 1 LTF . Le recours a pour le surplus été déposé en temps utile (art. 46 al. 1 let. a et 100 al. 1 LTF). Il y a donc lieu d'entrer en matière.</w:t>
      </w:r>
    </w:p>
    <w:p>
      <w:r>
        <w:rPr>
          <w:b/>
        </w:rPr>
        <w:t>E. 2</w:t>
      </w:r>
    </w:p>
    <w:p>
      <w:r>
        <w:t>Invoquant une violation du principe</w:t>
      </w:r>
    </w:p>
    <w:p>
      <w:r>
        <w:t>in dubio pro reo ainsi que l'arbitraire dans l'établissement des faits et l'appréciation des preuves, le recourant conteste avoir pénétré l'intimée pendant son sommeil en décembre 2020.</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voir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t>La présomption d'innocence, garantie par les art. 10 CPP , 32 al. 1 Cst., 6 par. 2 CEDH et 14 par. 2 Pacte ONU II,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devant le Tribunal fédéral en référence au principe</w:t>
      </w:r>
    </w:p>
    <w:p>
      <w:r>
        <w:t>in dubio pro reo , celui-ci n'a pas de portée plus large que l'interdiction de l'arbitraire ( ATF 148 IV 409 consid. 2.2; 146 IV 88 consid. 1.3.1; 145 IV 154 consid. 1.1; 143 IV 500 consid. 1.1).</w:t>
      </w:r>
    </w:p>
    <w:p>
      <w:r>
        <w:rPr>
          <w:b/>
        </w:rPr>
        <w:t>E. 2.1.2</w:t>
      </w:r>
    </w:p>
    <w:p>
      <w:r>
        <w:t>Lorsque l'autorité cantonale a forgé sa conviction quant aux faits sur la base d'un ensemble d'éléments ou d'indices convergents,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6B_694/2025 du 2 octobre 2025 consid. 1.1; 6B_920/2024 du 2 octobre 2025 consid. 2.3; 6B_369/2025 du 25 septembre 2025 consid. 4.1.2).</w:t>
      </w:r>
    </w:p>
    <w:p>
      <w:r>
        <w:t>Les déclarations de la victime constituent un élément de preuve. Le juge doit, dans l'évaluation globale de l'ensemble des éléments probatoires rassemblés au dossier, les apprécier librement (arrêt 6B_694/2025 du 2 octobre 2025 consid. 1.1), sous réserve des cas particuliers où une expertise de la crédibilité des déclarations de la victime s'impose ( ATF 129 IV 179 consid. 2.4; arrêt 6B_585/2025 du 24 septembre 2025 consid. 2.1.3).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6B_920/2024 du 2 octobre 2025 consid. 2.4; 6B_585/2025 du 24 septembre 2025 consid. 2.1.3).</w:t>
      </w:r>
    </w:p>
    <w:p>
      <w:r>
        <w:rPr>
          <w:b/>
        </w:rPr>
        <w:t>E. 2.2</w:t>
      </w:r>
    </w:p>
    <w:p>
      <w:r>
        <w:t>En l'occurrence, les juges cantonaux ont commencé par relever que les déclarations des parties permettaient d'affirmer que le recourant avait pénétré à plusieurs reprises l'intimée alors que celle-ci dormait durant leur relation. S'agissant de l'intimée, elle avait déclaré avoir subi entre 20 et 30 actes d'ordre sexuels pendant son sommeil. Quant au recourant, il avait, après avoir été confronté aux déclarations de l'intimée et avoir tenté de minimiser les faits, admis des "incompréhensions" durant le sommeil de l'intimée, jusqu'à sa "prise de conscience relative au consentement" de celle-ci. Les messages échangés entre les parties durant cette période confirmaient en outre leurs déclarations (jugement attaqué, consid. 4 à 9).</w:t>
      </w:r>
    </w:p>
    <w:p>
      <w:r>
        <w:t>S'il était difficile d'établir le nombre exactes d'actes commis, l'intimée avait néanmoins pu désigner deux épisodes distincts avec plus de précisions, soit en juin 2017 et en décembre 2020. S'agissant de l'épisode de juin 2017, le recourant avait déclaré ne pas s'en souvenir, avant d'admettre avoir voulu surprendre l'intimée, ce qui avait été "une totale erreur de [sa] part". Quant à celui de décembre 2022, il avait également commencé par prétendre ne pas s'en souvenir avant de déclarer que, si l'intimée s'en rappelait, il "imagin[ait] que oui" et que sa prise de conscience "n'a[vait] pas dû être si bonne que ça" (jugement attaqué, consid. 9).</w:t>
      </w:r>
    </w:p>
    <w:p>
      <w:r>
        <w:t>Les juges cantonaux ont ainsi considéré qu'en juin 2017 et en décembre 2020, le recourant avait pénétré l'intimée pendant son sommeil, ce qui l'avait réveillée, et que le doute devait profiter au recourant s'agissant d'autres actes similaires (jugement attaqué, consid. 10).</w:t>
      </w:r>
    </w:p>
    <w:p>
      <w:r>
        <w:rPr>
          <w:b/>
        </w:rPr>
        <w:t>E. 2.3</w:t>
      </w:r>
    </w:p>
    <w:p>
      <w:r>
        <w:t>Le recourant soutient, en résumé, que les déclarations de l'intimée relatives à l'événement de décembre 2020 seraient vagues, qu'elles ne seraient pas corroborées par d'autres éléments au dossier, que les siennes auraient été obtenues sur "pression de la police" et que "la seule différence avec les autres allégués de la plaignante [serait] qu'elle a situé l'événement" dans le temps (recours, p. 3 s.). Ce faisant, le recourant se borne à opposer son appréciation des preuves à celle opérée par les juges cantonaux sans en démontrer le caractère insoutenable. Sa critique est ainsi appellatoire et donc irrecevable (cf. art. 106 al. 2 LTF ; arrêts 7B_272/2023 du 12 juin 2025 consid. 2.4.1; 6B_631/2024 du 31 mars 2025 consid. 2.1.4; 7B_747/2023 du 8 janvier 2025 consid. 2.5.2).</w:t>
      </w:r>
    </w:p>
    <w:p>
      <w:r>
        <w:rPr>
          <w:b/>
        </w:rPr>
        <w:t>E. 3</w:t>
      </w:r>
    </w:p>
    <w:p>
      <w:r>
        <w:t>Invoquant une violation de l' art. 191 CP dans sa version en vigueur avant le 1er juillet 2024, le recourant conteste sa condamnation pour les faits commis en juin 2017 en soutenant avoir été "persuadé (...) d'avoir agi avec le consentement" de l'intimée.</w:t>
      </w:r>
    </w:p>
    <w:p>
      <w:r>
        <w:t>Cette argumentation tombe toutefois d'emblée à faux. En effet, le recourant ne conteste pas avoir pénétré l'intimée alors que celle-ci dormait; il admet par ailleurs "n'[avoir] pas parlé préalablement [avec elle] de la possibilité d'une relation sexuelle pendant que l'autre dormait" (recours, p. 6). Son argumentation tombe d'autant plus à faux au vu de ses déclarations relatives à cet événement précitées (cf. consid. 2.2</w:t>
      </w:r>
    </w:p>
    <w:p>
      <w:r>
        <w:t>supra ; jugement attaqué, consid. 6, 9 et 12b). Quant à ses arguments en lien avec l'âge des parties - selon lesquels "les jeunes [seraient] dans une zone grise en ce qui concerne le consentement" et qu'il n'aurait pas su "s'affranchir de cette zone" ou encore qu'"il fau[drait] apprendre à dire oui pour dire non" -, ils ne changent, au mieux, rien à ce qui précède (recours, p. 7).</w:t>
      </w:r>
    </w:p>
    <w:p>
      <w:r>
        <w:rPr>
          <w:b/>
        </w:rPr>
        <w:t>E. 4</w:t>
      </w:r>
    </w:p>
    <w:p>
      <w:r>
        <w:t>Il s'ensuit que le recours doit être rejeté dans la mesure où il est 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