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137/2023 vom 12. Oktober 2023</w:t>
      </w:r>
    </w:p>
    <w:p>
      <w:r>
        <w:t>Bundesgericht, 2023-10-12, DE</w:t>
      </w:r>
    </w:p>
    <w:p>
      <w:r>
        <w:rPr>
          <w:b/>
        </w:rPr>
        <w:t xml:space="preserve">Quelle: </w:t>
      </w:r>
      <w:r>
        <w:t>https://mcp.opencaselaw.ch/entscheid/bger_7B_137_2023</w:t>
      </w:r>
    </w:p>
    <w:p>
      <w:r>
        <w:t>FR: TF 7B 137/2023 du 12 octobre 2023</w:t>
      </w:r>
    </w:p>
    <w:p>
      <w:r>
        <w:t>IT: TF 7B 137/2023 del 12 ottobre 2023</w:t>
      </w:r>
    </w:p>
    <w:p>
      <w:pPr>
        <w:pStyle w:val="Heading2"/>
      </w:pPr>
      <w:r>
        <w:t>Regeste</w:t>
      </w:r>
    </w:p>
    <w:p>
      <w:r>
        <w:t>Widerhandlung gegen das Strassenverkehrsgesetz; Willkür, Grundsatz in dubio pro reo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Unter dem Titel der willkürlichen Beweiswürdigung sowie des Verstosses gegen das Prinzip "in dubio pro reo" trägt der Beschwerdeführer in seiner Eingabe an das Bundesgericht ausschliesslich Kritik an den vorinstanzlichen Sachverhaltsfestellungen vor.</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Urteile 7B_412/2023 vom 31. August 2023 E. 2.2.2; 7B_180/2022 vom 14. August 2023 E. 3.1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147 IV 73 E. 4.1.2; 145 IV 154 E. 1.1; 143 IV 241 E. 2.3.1; 141 IV 317 E. 5.4 mit Hinweisen). Die Willkürrüge muss nach Art. 106 Abs. 2 BGG explizit vorgebracht und substanziiert begründet werden. Neue Tatsachen und Beweismittel dürfen nur so weit vorgebracht werden, als erst der Entscheid der Vorinstanz dazu Anlass gibt ( Art. 99 Abs. 1 BGG ).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je mit Hinweisen; 142 II 433 E. 4.4; 140 III 264 E. 2.3). Der blosse Widerspruch zu Erwägungen der Vorinstanz qualifiziert eine Entscheidung noch nicht als willkürlich ( BGE 146 IV 297 E. 2.2.5 mit Verweis auf 141 IV 369 E. 6.3; 140 III 264 E. 2.3 mit Hinweisen). Willkür ist nicht bereits gegeben, wenn eine andere Lösung ebenfalls vertretbar oder sogar vorzuziehen ("préférable") wäre ( BGE 145 II 32 E. 5.1; 143 IV 347 E. 4.4 ; 143 I 321 E. 6.1 ; 141 I 49 E. 3.4, 70 E. 2.2). Auf appellatorische Kritik tritt das Bundesgericht nicht ein ( BGE 148 IV 356 E. 2.1 ; 148 I 104 E. 1.5; 147 IV 73 E. 4.1.2; 146 IV 114 E. 2.1, 88 E. 1.3.1; je mit Hinweisen). 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2.2</w:t>
      </w:r>
    </w:p>
    <w:p>
      <w:r>
        <w:t>Mit diesen Grundsätzen setzt sich der Beschwerdeführer nicht in der gebotenen Weise auseinander. Vielmehr handelt es sich bei seiner Kritik an der vorinstanzlichen Beweiswürdigung um Ausführungen, die einem Plädoyer vor einer Berufungsinstanz entnommen sein könnten. Obwohl der Beschwerdeführer darin immer wieder "Willkür" oder "unhaltbare" Schlussfolgerungen rügt, setzt er der Beweiswürdigung der Vorinstanz in der Sache lediglich eine eigene, für ihn günstige Würdigung der erhobenen Beweise entgegen. Es gebe - so der Beschwerdeführer - "keine Gründe, weshalb (...) nicht auf seine Sachverhaltsversion abzustellen wäre". Mit solcherlei appellatorischer Kritik wird der Beschwerdeführer vor Bundesgericht aber nicht gehört. Statt eine geradezu ins Auge springende Unhaltbarkeit der vorinstanzlichen Erwägungen aufzuzeigen, beruht seine Argumentation auf dem Bemühen, die erhobenen Beweise durch selektives Ausblenden belastender Elemente in einem für ihn möglichst günstigen Licht erscheinen zu lassen. Damit gelingt es ihm allenfalls, eine alternative Beweiswürdigung aufzuzeigen, nicht aber Willkür - die sich im Übrigen auch nicht herbei schreiben lässt, wenn sie nicht offenkundig vorhanden ist.</w:t>
      </w:r>
    </w:p>
    <w:p>
      <w:r>
        <w:rPr>
          <w:b/>
        </w:rPr>
        <w:t>E. 3</w:t>
      </w:r>
    </w:p>
    <w:p>
      <w:r>
        <w:t>Die Beschwerde erweist sich als unbegründet, soweit sie hinsichtlich der vorgebrachten Sachverhaltskritik überhaupt zulässig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