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7B_1358/2025 vom 16. Februar 2026</w:t>
      </w:r>
    </w:p>
    <w:p>
      <w:r>
        <w:t>Bundesgericht, 2026-02-16, FR</w:t>
      </w:r>
    </w:p>
    <w:p>
      <w:r>
        <w:rPr>
          <w:b/>
        </w:rPr>
        <w:t xml:space="preserve">Quelle: </w:t>
      </w:r>
      <w:r>
        <w:t>https://mcp.opencaselaw.ch/entscheid/bger_7B_1358_2025</w:t>
      </w:r>
    </w:p>
    <w:p>
      <w:r>
        <w:t>FR: TF 7B_1358/2025 du 16 février 2026</w:t>
      </w:r>
    </w:p>
    <w:p>
      <w:r>
        <w:t>IT: TF 7B_1358/2025 del 16 febbraio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Une décision - rendue par une autorité cantonale statuant en tant qu'instance unique (art. 80 al. 2 in fine LTF) - relative à la récusation d'un membre du ministère public peut faire immédiatement l'objet d'un recours en matière pénale, malgré son caractère incident (cf. art. 78 et 92 al. 1 LTF ). Le recourant, prévenu, dont la demande de récusation a été rejetée, a qualité pour recourir en vertu de l' art. 81 al. 1 LTF .</w:t>
      </w:r>
    </w:p>
    <w:p>
      <w:r>
        <w:t>Pour le surplus, les autres conditions de recevabilité étant réalisées, il y a lieu d'entrer en matière.</w:t>
      </w:r>
    </w:p>
    <w:p>
      <w:r>
        <w:rPr>
          <w:b/>
        </w:rPr>
        <w:t>E. 2.1</w:t>
      </w:r>
    </w:p>
    <w:p>
      <w:r>
        <w:t>Le recourant se prévaut d'une violation de son droit d'être entendu ( art. 9 et 29 al. 2 Cst. ), notamment en lien avec "la demande de mise en détention du 9 octobre 2025".</w:t>
      </w:r>
    </w:p>
    <w:p>
      <w:r>
        <w:rPr>
          <w:b/>
        </w:rPr>
        <w:t>E. 2.2.1</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arrêts 7B_498/2023 du 17 décembre 2025 consid. 2.6.1; 7B_520/2023 du 2 avril 2024 consid. 5.2.1).</w:t>
      </w:r>
    </w:p>
    <w:p>
      <w:r>
        <w:rPr>
          <w:b/>
        </w:rPr>
        <w:t>E. 2.2.2</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150 II 346 consid. 1.5.3; 149 III 81 consid. 1.3).</w:t>
      </w:r>
    </w:p>
    <w:p>
      <w:r>
        <w:rPr>
          <w:b/>
        </w:rPr>
        <w:t>E. 2.3</w:t>
      </w:r>
    </w:p>
    <w:p>
      <w:r>
        <w:t>Dans son grief, le recourant expose que les "explications factuelles" qu'il aurait données dans son audition du 8 octobre 2025 n'auraient été "ni prises en compte ni vérifiées (même sommairement) dans la demande de mise en détention du 9 octobre 2025" et que le "bordereau de pièces du 10 octobre 2025" n'aurait jamais été "pris en retenu" par le Procureur intimé dans son courrier du 21 octobre 2025. Cela étant, force est de constater que les brèves explications du recourant ne satisfont pas aux exigences de motivation accrues requises par l' art. 106 al. 2 LTF . Le grief se révèle ainsi irrecevable. En outre, la question de la prise en considération de ces faits et moyens de preuve relève de l'établissement des faits et de l'appréciation des preuves, lesquels seront traités dans les considérants qui suivent.</w:t>
      </w:r>
    </w:p>
    <w:p>
      <w:r>
        <w:rPr>
          <w:b/>
        </w:rPr>
        <w:t>E. 3.1</w:t>
      </w:r>
    </w:p>
    <w:p>
      <w:r>
        <w:t>Le recourant se plaint d'une constatation manifestement inexacte des faits au sens de l' art. 97 LTF .</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3.3</w:t>
      </w:r>
    </w:p>
    <w:p>
      <w:r>
        <w:t>Dans son grief, le recourant affirme qu'il n'aurait "jamais commis d'inceste envers ses enfants". Il expose ensuite divers éléments de fait et moyens de preuve, soutenant que ceux-ci seraient "déterminants" et constitueraient, "à eux seuls", un "appel à la prudence dans les décisions à prendre". Il expose notamment qu'une "appréciation nuancée de la situation [serait] requise plutôt que d'enfoncer des portes ouvertes".</w:t>
      </w:r>
    </w:p>
    <w:p>
      <w:r>
        <w:t>Cela étant, on peine à comprendre ce que le recourant souhaite tirer des nombreux faits cités dans son grief. En effet, il semble tout au plus contester l'existence de soupçons suffisants pesant sur lui, s'écartant ainsi de l'objet du litige (cf. art. 80 al. 1 LTF ). Il n'explique au demeurant pas en quoi la cour cantonale aurait violé le droit dans l'appréciation des preuves ou l'établissement des faits, ni en quoi ceux qu'il invoque seraient pertinents en l'espèce. Aussi, on rappelle au recourant que la violation des droits fondamentaux est soumise à des exigences de motivation accrues (cf. art. 106 al. 2 LTF ; consid. 2.2.2</w:t>
      </w:r>
    </w:p>
    <w:p>
      <w:r>
        <w:t>supra ). Partant, le prénommé, qui se limite à lister divers éléments de fait et moyens de preuve, en indiquant que "le refus total de prendre en considération les explications à [sa] décharge" serait "révélateur de l'état d'esprit du Procureur", ne satisfait pas à ces exigences. Son grief se révèle irrecevable.</w:t>
      </w:r>
    </w:p>
    <w:p>
      <w:r>
        <w:rPr>
          <w:b/>
        </w:rPr>
        <w:t>E. 4.1</w:t>
      </w:r>
    </w:p>
    <w:p>
      <w:r>
        <w:t>Le recourant soutient que sa requête de récusation n'aurait pas été tardive, contrairement à ce qu'a retenu l'autorité précédente. Il reproche en outre à cette dernière d'avoir considéré que le Procureur intimé ne présentait pas d'apparence de prévention au sens de l' art. 56 let . f CPP.</w:t>
      </w:r>
    </w:p>
    <w:p>
      <w:r>
        <w:rPr>
          <w:b/>
        </w:rPr>
        <w:t>E. 4.2.1</w:t>
      </w:r>
    </w:p>
    <w:p>
      <w:r>
        <w:t>Conformément à l' art. 58 al. 1 CPP , la récusation doit être demandée sans délai, dès que la partie a connaissance du motif de récusation, c'est-à-dire dans les jours qui suivent la connaissance de la cause de récusation, sous peine de déchéance ( ATF 143 V 66 consid. 4.3; 140 I 271 consid. 8.4.3).</w:t>
      </w:r>
    </w:p>
    <w:p>
      <w:r>
        <w:t>De jurisprudence constante, les réquisits temporels de cette disposition sont satisfaits lorsque la requête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(arrêts 7B_1171/2024 du 3 avril 2025 consid. 2.2; 7B_143/2024 du 3 juin 2024 consid. 4.1.1; 7B_266/2023 du 6 décembre 2023 consid. 3.2). Pour procéder à cette appréciation, il convient notamment de prendre en compte les circonstances de l'espèce, ainsi que le stade de la procédure; considérer que le droit de demander la récusation est perdu doit être apprécié avec retenue (arrêts 7B_1171/2024 du 3 avril 2025 consid. 2.2; 1B_497/2022 du 13 décembre 2022 consid. 3.1; 1B_283/2022 du 29 novembre 2022 consid. 4.1).</w:t>
      </w:r>
    </w:p>
    <w:p>
      <w:r>
        <w:rPr>
          <w:b/>
        </w:rPr>
        <w:t>E. 4.2.2</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et correspond à la garantie d'un tribunal indépendant et impartial instituée par les art. 30 Cst. et 6 CEDH ( ATF 148 IV 137 consid. 2.2; 143 IV 69 consid. 3.2). L' art. 56 CPP concrétise aussi les droits déduits de l' art. 29 al. 1 Cst. garantissant l'équité du procès et assure au justiciable cette protection lorsque d'autres autorités ou organes que des tribunaux sont concernés ( ATF 141 IV 178 consid. 3.2.2; arrêts 7B_1038/2024 du 6 janvier 2025 consid. 3.2; 7B_768/2024 du 30 octobre 2024 consid. 2.2).</w:t>
      </w:r>
    </w:p>
    <w:p>
      <w:r>
        <w:t>Si les art. 56 let. b à e CPP s'appliquent de manière similaire à celle prévalant pour les membres des autorités judiciaires,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(arrêts 7B_1038/2024 du 6 janvier 2025 consid. 3.2; 1B_95/2021 du 12 avril 2021 consid. 2.1).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138 IV 142 consid. 2.2.1; arrêt 7B_1038/2024 du 6 janvier 2025 consid. 3.2).</w:t>
      </w:r>
    </w:p>
    <w:p>
      <w:r>
        <w:t>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148 IV 137 consid. 2.2; 143 IV 69 consid 3.2; arrêt 7B_1038/2024 du 6 janvier 2025 consid. 3.2).</w:t>
      </w:r>
    </w:p>
    <w:p>
      <w:r>
        <w:t>Les déclarations d'un magistrat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arrêts 7B_1038/2024 du 6 janvier 2025 consid. 3.2; 1B_497/2022 du 13 décembre 2022 consid. 3.1).</w:t>
      </w:r>
    </w:p>
    <w:p>
      <w:r>
        <w:rPr>
          <w:b/>
        </w:rPr>
        <w:t>E. 4.3.1</w:t>
      </w:r>
    </w:p>
    <w:p>
      <w:r>
        <w:t>Selon l'autorité précédente, le délai de deux semaines séparant la prise de connaissance de la demande de mise en détention provisoire de la requête de récusation ne satisfaisait pas aux réquisits temporels de l' art. 58 al. 1 CPP . La cour cantonale a en outre relevé que les motifs fondant la requête de récusation avaient trait au contenu de la demande de détention provisoire du 9 octobre 2025 et que, partant, l'interpellation préalable adressée au Procureur intimé, le 15 octobre 2025, n'était pas de nature à modifier l'appréciation du délai (cf. arrêt entrepris, p. 5).</w:t>
      </w:r>
    </w:p>
    <w:p>
      <w:r>
        <w:rPr>
          <w:b/>
        </w:rPr>
        <w:t>E. 4.3.2</w:t>
      </w:r>
    </w:p>
    <w:p>
      <w:r>
        <w:t>L'autorité précédente a ensuite considéré que même s'il devait être retenu que le délai de 15 jours était encore acceptable, force était de constater que le recourant lui-même avait hésité à déposer sa demande de récusation puisqu'il avait demandé des informations complémentaires au Procureur intimé; ce besoin d'éclaircissement confirmait ainsi que le parti pris imputé au magistrat n'était pas manifeste de l'avis même du recourant (cf. arrêt entrepris, p. 5).</w:t>
      </w:r>
    </w:p>
    <w:p>
      <w:r>
        <w:t>La cour cantonale a ajouté que, sur le fond, le Procureur intimé avait expressément indiqué que la situation devait être élucidée, partant qu'il ne tenait pas pour acquise l'étendue des agissements reprochés au recourant. L'hypothèse d'infractions encore inconnues de la justice pénale était un motif de détention provisoire au regard des risques de collusion et de réitération. Mentionner la possibilité que les agissements punissables imputés au recourant ne s'étaient pas limités à ses deux enfants, en l'état de la procédure, ne saurait être constitutif d'un quelconque parti pris en sa défaveur. Il en allait de même de l'appréciation de la crédibilité des mises en cause des enfants - notamment en rapport avec l'influence que leur mère aurait pu avoir sur eux - à laquelle le Procureur intimé avait procédé dans le cadre de l'examen relatif à l'existence de soupçons suffisants pesant sur le recourant (cf. arrêt entrepris, p. 6).</w:t>
      </w:r>
    </w:p>
    <w:p>
      <w:r>
        <w:t>En lien avec l'assertion selon laquelle "une activité délictuelle qui se serait étendue sur une aussi longue période dénoterait un enracinement profond dans la délinquance soutenu par des pulsions sexuelles qui ne seraient pas maîtrisées" que le Procureur intimé avait formulée dans son courrier du 21 octobre 2025, la cour cantonale a précisé qu'elle visait à répondre à la demande de précisions du recourant; elle était au demeurant précédée d'une hypothèse ("s'il devait être condamné pour ces faits") et était formulée au conditionnel (cf. arrêt entrepris, p. 6).</w:t>
      </w:r>
    </w:p>
    <w:p>
      <w:r>
        <w:rPr>
          <w:b/>
        </w:rPr>
        <w:t>E. 4.4.1</w:t>
      </w:r>
    </w:p>
    <w:p>
      <w:r>
        <w:t>En lien avec le délai dans lequel il a déposé sa demande de récusation, le recourant expose sa propre chronologie des évènements. Il explique en substance que la demande de mise en détention provisoire du 9 octobre 2025 aurait été rejetée par "l'ordonnance de mise en liberté du 10 octobre 2025" du TMC. Il ajoute qu'il aurait interpellé le Procureur intimé le 15 octobre 2025, soit "quatre jours après la connaissance du motif de récusation" et, partant, que le délai de l' art. 58 CPP serait respecté.</w:t>
      </w:r>
    </w:p>
    <w:p>
      <w:r>
        <w:t>On relèvera tout d'abord que le recourant se fonde sur des éléments de fait - à savoir l'ordonnance du TMC du 10 octobre 2025 - qui ne ressortent pas de l'arrêt entrepris et dont il ne dénonce pas l'omission arbitraire. On ne saurait par ailleurs considérer que la simple interpellation du Procureur intimé, le 15 octobre 2025, équivaudrait à une requête de récusation puisque ce n'est que le 24 octobre 2025 que le recourant a formellement adressé ladite requête au Ministère public. En tout état, cette question peut demeurer indécise vu ce qui suit.</w:t>
      </w:r>
    </w:p>
    <w:p>
      <w:r>
        <w:rPr>
          <w:b/>
        </w:rPr>
        <w:t>E. 4.4.2</w:t>
      </w:r>
    </w:p>
    <w:p>
      <w:r>
        <w:t>En lien avec l'existence d'un motif de récusation, l'appréciation de la cour cantonale, selon laquelle le comportement du Procureur intimé ne fonde pas une apparence objective de prévention, ne prête pas le flanc à la critique et doit être confirmée.</w:t>
      </w:r>
    </w:p>
    <w:p>
      <w:r>
        <w:t>En effet, les assertions du prénommé dans sa demande de mise en détention provisoire du 9 octobre 2025, respectivement son courrier du 21 octobre 2025, ne sont pas propres à remettre en cause son impartialité. Il incombait au Procureur intimé, en tant que membre d'une autorité de poursuite pénale, de démontrer, dans sa requête, les éléments justifiant la mise en détention provisoire du recourant. Aussi, comme relevé par la cour cantonale, le Procureur intimé a pris la peine de préciser que l'enquête n'en était qu'à ses débuts et que de nombreux actes d'instruction devaient encore être effectués afin de déterminer l'étendue de l'activité délictuelle du recourant. Au demeurant, il ressort de l'arrêt entrepris que le Procureur intimé a indiqué, dans sa réponse du 21 octobre 2025, que ce n'était que "</w:t>
      </w:r>
    </w:p>
    <w:p>
      <w:r>
        <w:t>dans l'hypothèse où le recourant serait reconnu coupable des faits qui lui sont reprochés par ses enfants que tout laisserait à penser qu'il aurait poursuivi son activité délictueuse (...) ". Le magistrat instructeur a par ailleurs précisé, dans sa demande de mise en détention provisoire du 9 octobre 2025, que c'était "ce que l'enquête devra établir". Il ressort également de l'arrêt attaqué, en lien avec l'assertion du Procureur intimé selon laquelle "une activité délictuelle qui se serait étendue sur une aussi longue période dénoterait un enracinement profond dans la délinquance soutenu par des pulsions sexuelles qui ne seraient pas maîtrisées", qu'elle était également précédée d'une hypothèse, à savoir "s[i le recourant] devait être condamné pour ces faits". Quoi qu'en dise le recourant, le Procureur intimé a ainsi exprimé une appréciation nuancée de la situation. On ne saurait dès lors en déduire que ce dernier se serait déjà forgé une opinion sur la culpabilité du recourant.</w:t>
      </w:r>
    </w:p>
    <w:p>
      <w:r>
        <w:t>En outre, les arguments du recourant en lien avec l'ordonnance du 10 octobre 2025 du TMC tombent à faux, étant rappelé qu'une telle ordonnance ne ressort pas de l'arrêt entrepris (cf. consid. 4.4.1</w:t>
      </w:r>
    </w:p>
    <w:p>
      <w:r>
        <w:t>supra ). En tout état, le fait que le TMC n'aurait pas entièrement suivi les conclusions de la demande de mise en détention provisoire du Ministère public ne permet pas d'en déduire automatiquement une quelconque prévention de la part du procureur en charge de l'enquête.</w:t>
      </w:r>
    </w:p>
    <w:p>
      <w:r>
        <w:t>Pour le reste, le recourant se limite à livrer sa propre interprétation des termes utilisés par le Procureur intimé, se contentant d'avancer que "tout porte à croire qu'il s'est forgé une conviction, basée sur des représentations personnelles et subjectives". Il en va de même en tant qu'il soutient que le magistrat instruirait uniquement à charge. En effet, les critiques formulées par le recourant à cet égard relèvent en réalité d'impressions purement subjectives respectivement de conjectures qui ne sauraient être décisives dans le cadre de l'examen d'un motif de récusation. Il en va en particulier ainsi lorsqu'il soutient que le fait que le Procureur intimé ait considéré les déclarations des enfants "parfaitement" crédibles ferait craindre qu'il juge "non pertinentes" "des expertises psychiatriques de toute la famille" qui "devront être ordonnées".</w:t>
      </w:r>
    </w:p>
    <w:p>
      <w:r>
        <w:t>On relèvera par ailleurs que, dans le cadre des motifs l'ayant conduit à requérir la récusation du Procureur intimé, le recourant formule pour l'essentiel plusieurs critiques qui ont trait à la manière dont celui-là a mené - ou mène - son instruction. Or on rappelle que, selon la jurisprudence, une procédure de récusation n'a pas pour objet de permettre aux parties de remettre en cause la manière dont l'instruction est menée ( ATF 143 IV 69 consid 3.2; arrêts 7B_1038/2024 du 6 janvier 2025 consid. 3.2; 7B_768/2024 du 30 octobre 2024 consid. 2.2). À cela s'ajoute que le recourant conteste l'existence de soupçons suffisants et des risques invoqués pour sa mise en détention provisoire, soutenant notamment que le "Procureur échoue à démontrer que les circonstances particulières de l'espèce révèlent un risque concret et sérieux". Sur ce point, le recourant se méprend lorsqu'il soutient, par un raccourci maladroit, que l'autorité précédente aurait considéré que des hypothèses et l'utilisation du conditionnel suffiraient pour admettre, notamment, un risque de réitération. En effet, la cour cantonale a considéré que le fait d'utiliser le conditionnel et la forme hypothétique étaient des indices supplémentaires démontrant l'absence de prévention du Procureur intimé, étant relevé qu'elle a donné ces précisions en lien avec la réponse du prénommé à l'interpellation du recourant et non pas avec la réalisation des conditions requises pour la mise en détention provisoire.</w:t>
      </w:r>
    </w:p>
    <w:p>
      <w:r>
        <w:t>Il résulte des éléments qui précèdent que la cour cantonale n'a pas violé le droit fédéral en rejetant la requête de récusation déposée par le recourant.</w:t>
      </w:r>
    </w:p>
    <w:p>
      <w:r>
        <w:rPr>
          <w:b/>
        </w:rPr>
        <w:t>E. 5</w:t>
      </w:r>
    </w:p>
    <w:p>
      <w:r>
        <w:t>Il s'ensuit que le recours doit être rejeté dans la mesure où il est recevable.</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