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7B_1356/2025 vom 26. Januar 2026</w:t>
      </w:r>
    </w:p>
    <w:p>
      <w:r>
        <w:t>Bundesgericht, 2026-01-26, DE</w:t>
      </w:r>
    </w:p>
    <w:p>
      <w:r>
        <w:rPr>
          <w:b/>
        </w:rPr>
        <w:t xml:space="preserve">Quelle: </w:t>
      </w:r>
      <w:r>
        <w:t>https://mcp.opencaselaw.ch/entscheid/bger_7B_1356_2025</w:t>
      </w:r>
    </w:p>
    <w:p>
      <w:r>
        <w:t>FR: TF 7B_1356/2025 du 26 janvier 2026</w:t>
      </w:r>
    </w:p>
    <w:p>
      <w:r>
        <w:t>IT: TF 7B_1356/2025 del 26 gennaio 2026</w:t>
      </w:r>
    </w:p>
    <w:p>
      <w:pPr>
        <w:pStyle w:val="Heading2"/>
      </w:pPr>
      <w:r>
        <w:t>Erwägungen</w:t>
      </w:r>
    </w:p>
    <w:p>
      <w:r>
        <w:rPr>
          <w:b/>
        </w:rPr>
        <w:t>E. 1</w:t>
      </w:r>
    </w:p>
    <w:p>
      <w:r>
        <w:t>Mit Beschluss vom 24. November 2025 trat das Obergericht des Kantons Zürich, III. Strafkammer, nicht auf das Ausstandsgesuch von A.________ ein. Dagegen gelangte A.________ mit Beschwerde vom 9. Dezember 2025 an das Bundesgericht.</w:t>
      </w:r>
    </w:p>
    <w:p>
      <w:r>
        <w:rPr>
          <w:b/>
        </w:rPr>
        <w:t>E. 2</w:t>
      </w:r>
    </w:p>
    <w:p>
      <w:r>
        <w:t>Die Vorinstanz legt in Auseinandersetzung mit der bundesgerichtlichen Rechtsprechung zum Normgehalt von Art. 58 StPO detailliert dar, weshalb sie auf das verspätet gestellte Ausstandsgesuch nicht eingetreten ist. Mit diesen Erwägungen setzt sich der Beschwerdeführer nicht hinreichend auseinander. Stattdessen legt er lediglich seine Sichtweise dar und macht diverse Rügen geltend, wie unter anderem die angebliche "Aneinanderreihung schwerer Verfahrensfehler", "Verdacht einer befangenheitsbedingten Ungleichbehandlung" sowie die angebliche Verhandlung in seiner Abwesenheit. Solche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