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7B_1345/2025 vom 19. Februar 2026</w:t>
      </w:r>
    </w:p>
    <w:p>
      <w:r>
        <w:t>Bundesgericht, 2026-02-19, FR</w:t>
      </w:r>
    </w:p>
    <w:p>
      <w:r>
        <w:rPr>
          <w:b/>
        </w:rPr>
        <w:t xml:space="preserve">Quelle: </w:t>
      </w:r>
      <w:r>
        <w:t>https://mcp.opencaselaw.ch/entscheid/bger_7B_1345_2025</w:t>
      </w:r>
    </w:p>
    <w:p>
      <w:r>
        <w:t>FR: TF 7B_1345/2025 du 19 février 2026</w:t>
      </w:r>
    </w:p>
    <w:p>
      <w:r>
        <w:t>IT: TF 7B_1345/2025 del 19 febbraio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l'occurrence, la cour cantonale a mis les frais de procédure à la charge de A.________ en application de l' art. 417 CPP parce que celui-ci avait produit un acte de procédure vicié. Elle a en effet constaté que le recours déposé le 6 juin 2025 par B.________ Sàrl avait été signé par A.________, alors que celui-ci ne représentait plus la société suite à la faillite de celle-ci prononcée le 25 mai 2025 par le Tribunal de l'arrondissement de l'Est vaudois.</w:t>
      </w:r>
    </w:p>
    <w:p>
      <w:r>
        <w:rPr>
          <w:b/>
        </w:rPr>
        <w:t>E. 1.3</w:t>
      </w:r>
    </w:p>
    <w:p>
      <w:r>
        <w:t>Face à cette motivation, le recourant se contente de soutenir, en se plaignant en particulier d'une violation de l' art. 428 al. 1 CPP , que les frais judiciaires n'auraient pas dû être mis à sa charge, dès lors qu'il aurait agi "en temps utile, de bonne foi, en suivant la voie de droit indiquée, dans un contexte procédural objectivement délicat, marqué par l'articulation entre procédure pénale et une faillite récemment prononcée". Cette brève argumentation, dont il est permis de douter de la pertinence au regard de la norme appliquée par la cour cantonale, n'est toutefois pas de nature à démontrer que les considérations des juges cantonaux précitées violeraient le droit fédéral (cf. art. 42 al. 1 et 2 LTF ) et moins encore un droit fondamental du recourant (cf. art. 106 al. 2 LTF ).</w:t>
      </w:r>
    </w:p>
    <w:p>
      <w:r>
        <w:rPr>
          <w:b/>
        </w:rPr>
        <w:t>E. 2</w:t>
      </w:r>
    </w:p>
    <w:p>
      <w:r>
        <w:t>L'irrecevabilité manifeste du recours doit ainsi être constatée dans la procédure prévue par l' art. 108 al. 1 let. b LTF . Comme le recours était d'emblée dénué de chances de succès, la demande d'assistance judiciaire doit être rejetée ( art. 64 al. 1 LTF ), ce qui relève également de la compétence du juge unique prévue par l' art. 108 LTF ( art. 64 al. 3 2 e phrase LTF; arrêt 7B_26/2026 du 15 janvier 2026 consid. 2).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