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7B_132/2025 vom 29. April 2025</w:t>
      </w:r>
    </w:p>
    <w:p>
      <w:r>
        <w:t>Bundesgericht, 2025-04-29, DE</w:t>
      </w:r>
    </w:p>
    <w:p>
      <w:r>
        <w:rPr>
          <w:b/>
        </w:rPr>
        <w:t xml:space="preserve">Quelle: </w:t>
      </w:r>
      <w:r>
        <w:t>https://mcp.opencaselaw.ch/entscheid/bger_7B_132_2025</w:t>
      </w:r>
    </w:p>
    <w:p>
      <w:r>
        <w:t>FR: TF 7B_132/2025 du 29 avril 2025</w:t>
      </w:r>
    </w:p>
    <w:p>
      <w:r>
        <w:t>IT: TF 7B_132/2025 del 29 aprile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Diese Voraussetzungen sind vorliegend erfüllt, weshalb die Verfahren 7B_132/2025 und 7B_133/2025 vereinigt und die Beschwerden in einem einzigen Entscheid behandelt werden.</w:t>
      </w:r>
    </w:p>
    <w:p>
      <w:r>
        <w:rPr>
          <w:b/>
        </w:rPr>
        <w:t>E. 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2.2</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2.3</w:t>
      </w:r>
    </w:p>
    <w:p>
      <w:r>
        <w:t>Zur Beschwerde in Strafsachen ist zudem die Person berechtigt, die Strafantrag stellt, soweit es um das Strafantragsrecht als solches geht (Art. 81 Abs. 1 lit. b Ziff. 6 BGG). Der Zweck dieser Bestimmung besteht darin, Verletzungen des Strafantragsrechts gemäss Art. 30-33 StGB korrigieren zu können (Urteil 7B_74/2023 vom 30. September 2024 E. 1.2.1 mit Hinweisen). In diesem Rahmen kann die beschwerdeführende Partei deshalb nur Rügen betreffend die Ausübung des Antragsrechts als solchem und seiner Voraussetzungen erheben. Sie kann gestützt auf Art. 81 Abs. 1 lit. b Ziff. 6 BGG in der Sache aber weder den angefochtenen Entscheid noch den Nichteintretens- oder Einstellungsentscheid anfechten (vgl. BGE 129 IV 206 E. 1; Urteile 7B_637/2023 vom 6. Januar 2025 E. 1; 7B_507/2023 vom 20. März 2024 E. 2.1; je mit Hinweisen).</w:t>
      </w:r>
    </w:p>
    <w:p>
      <w:r>
        <w:rPr>
          <w:b/>
        </w:rPr>
        <w:t>E. 2.4</w:t>
      </w:r>
    </w:p>
    <w:p>
      <w:r>
        <w:t>Ungeachtet der fehlenden Legitimation in der Sache selbst kann ferner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(vgl. Urteile 7B_751/2024 vom 27. November 2024 E. 3.1; 7B_219/2023 vom 20. Juni 2024 E. 1.2; vgl. auch BGE 136 IV 41 E. 1.4; je mit Hinweisen).</w:t>
      </w:r>
    </w:p>
    <w:p>
      <w:r>
        <w:rPr>
          <w:b/>
        </w:rPr>
        <w:t>E. 3.1</w:t>
      </w:r>
    </w:p>
    <w:p>
      <w:r>
        <w:t>Der Beschwerdeführer stützt seine Sachlegitimation auf Art. 81 Abs. 1 lit. b Ziff. 5 BGG. Den diesbezüglichen Begründungsanforderungen (siehe die Verweise in E. 2.2 hiervor) vermag er mit seinen Ausführungen, er habe ein "rechtlich geschütztes Interesse an der Aufhebung der angefochtenen Entscheide, da er sonst seine Schadenersatz- und insbesondere Genugtuungsansprüche nicht geltend machen und durchsetzen" könne, jedoch nicht ansatzweise nachzukommen.</w:t>
      </w:r>
    </w:p>
    <w:p>
      <w:r>
        <w:rPr>
          <w:b/>
        </w:rPr>
        <w:t>E. 3.2</w:t>
      </w:r>
    </w:p>
    <w:p>
      <w:r>
        <w:t>In seiner Beschwerde rügt der Beschwerdeführer im Wesentlichen, er habe die Strafanträge rechtzeitig gestellt, weshalb die Staatsanwaltschaft ein Strafverfahren hätte an Hand nehmen müssen. Soweit sich der Beschwerdeführer damit auf das Strafantragsrecht als solches nach Art. 81 Abs. 1 lit. b Ziff. 6 BGG berufen will - was nicht klar aus der Beschwerde hervorgeht - muss er die Anforderungen an die Begründung gemäss Art. 42 Abs. 2 BGG einhalten. Gleich wie namentlich der beschwerdeführende Privatkläger nach Art. 81 Abs. 1 lit. b Ziff. 5 BGG (siehe wiederum die Verweise in E. 2.2 hiervor) und die beschwerdeführende Staatsanwaltschaft nach Art. 81 Abs. 1 lit. b Ziff. 3 BGG ( BGE 148 IV 275 E. 1.3; 141 IV 289 E. 1.3; Urteile 6B_696/2023 vom 21. November 2024 E. 1.2.2, zur Publ. vorgesehen; 7B_1214/2024 vom 14. Januar 2025 E. 1.2.1; 6B_1314/2016, 6B_1318/2016 vom 10. Oktober 2018 E. 1.4.3, nicht publ. in: BGE 145 IV 114 ) von entsprechenden Anforderungen an die Begründung ihrer Beschwerdelegitimation getroffen werden, gilt dies grundsätzlich auch für den beschwerdeführenden Strafantragssteller nach Art. 81 Abs. 1 lit. b Ziff. 6 BGG - es sei denn, es ist offensichtlich, dass "das Strafantragsrecht als solches" betroffen ist.</w:t>
      </w:r>
    </w:p>
    <w:p>
      <w:r>
        <w:t>Es ist fraglich, ob der Beschwerdeführer seine Legitimation hinreichend begründet. Dies kann jedoch aufgrund des Ausgangs des Verfahrens offenbleiben.</w:t>
      </w:r>
    </w:p>
    <w:p>
      <w:r>
        <w:rPr>
          <w:b/>
        </w:rPr>
        <w:t>E. 3.3</w:t>
      </w:r>
    </w:p>
    <w:p>
      <w:r>
        <w:t>Der Beschwerdeführer geht mit seinen Ausführungen nicht über unzulässige appellatorische Kritik hinaus. In seinen Beschwerden trägt er erneut dieselben Argumente vor wie im vorinstanzlichen Verfahren. In den angefochtenen Beschlüssen findet sich in den Erwägungen II.3.2 eine Zusammenfassung der Vorbringen, die der Beschwerdeführer auch in seinen Beschwerden ans Bundesgericht anführt. Die Vorinstanz hat sich einlässlich mit diesen beschäftigt und sie widerlegt: In den Erwägungen II.4.2 wird dargelegt, weshalb aus der Aussage des Beschwerdeführers in der Einvernahme vom 12. Juli 2023 kein hinreichender Strafantragswille hervorgehe und dass ein allfälliger Antrag in der Einvernahme vom 21. Dezember 2023 verspätet gewesen wäre. In den Erwägungen 4.3 wird alsdann ausgeführt, weshalb mit der ungesicherten - das heisst nicht qualifiziert elektronisch signierten und an eine für diese Zwecke nicht bestimmte Adresse gesandte - E-Mail vom 6. Oktober 2023 (dem Tag, an welchem die Strafantragsfristen endeten) an den polizeilichen Protokollführer keine Strafanträge gestellt wurden, weshalb unter diesen Umständen keine Nachfrist anzusetzen war und warum sich namentlich unter Berücksichtigung des Antwortschreibens der Staatsanwaltschaft vom 9. Oktober 2023 für den Beschwerdeführer keine Ansprüche aus Treu und Glauben ableiten liessen.</w:t>
      </w:r>
    </w:p>
    <w:p>
      <w:r>
        <w:rPr>
          <w:b/>
        </w:rPr>
        <w:t>E. 3.4</w:t>
      </w:r>
    </w:p>
    <w:p>
      <w:r>
        <w:t>Zusammengefasst gehen die Beschwerden nicht über unzulässige appellatorische Kritik hinaus, womit sie den Begründungsanforderungen von Art. 42 Abs. 2 BGG offensichtlich nicht genügen. Es ist nicht auf sie einzutreten.</w:t>
      </w:r>
    </w:p>
    <w:p>
      <w:r>
        <w:rPr>
          <w:b/>
        </w:rPr>
        <w:t>E. 4</w:t>
      </w:r>
    </w:p>
    <w:p>
      <w:r>
        <w:t>Die Gerichtskosten sind dem Beschwerdeführer aufzuerlegen ( Art. 66 Abs. 1 BGG ). Die Gesuche um unentgeltliche Rechtspflege sind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