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132/2024 vom 19. August 2024</w:t>
      </w:r>
    </w:p>
    <w:p>
      <w:r>
        <w:t>Bundesgericht, 2024-08-19, DE</w:t>
      </w:r>
    </w:p>
    <w:p>
      <w:r>
        <w:rPr>
          <w:b/>
        </w:rPr>
        <w:t xml:space="preserve">Quelle: </w:t>
      </w:r>
      <w:r>
        <w:t>https://mcp.opencaselaw.ch/entscheid/bger_7B_132_2024</w:t>
      </w:r>
    </w:p>
    <w:p>
      <w:r>
        <w:t>FR: TF 7B 132/2024 du 19 août 2024</w:t>
      </w:r>
    </w:p>
    <w:p>
      <w:r>
        <w:t>IT: TF 7B 132/2024 del 19 agosto 2024</w:t>
      </w:r>
    </w:p>
    <w:p>
      <w:pPr>
        <w:pStyle w:val="Heading2"/>
      </w:pPr>
      <w:r>
        <w:t>Regeste</w:t>
      </w:r>
    </w:p>
    <w:p>
      <w:r>
        <w:t>Entsiegelung | Strafprozess</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w:t>
      </w:r>
    </w:p>
    <w:p>
      <w:r>
        <w:rPr>
          <w:b/>
        </w:rPr>
        <w:t>E. 1.2</w:t>
      </w:r>
    </w:p>
    <w:p>
      <w:r>
        <w:t>Der angefochtene Entsiegelungsentscheid schliesst das gegen den Beschwerdeführer laufende Strafverfahren nicht ab und betrifft weder die Zuständigkeit noch ein Ausstandsbegehren im Sinne von Art. 92 BGG . Die Gutheissung der vorliegenden Beschwerde würde auch nicht sofort einen Endentscheid im Sinne von Art. 93 Abs. 1 lit. b BGG herbeiführen. Der angefochtene Zwischenentscheid ist demnach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beispielsweise ein mangelnder Deliktskonnex oder ein fehlender hinreichender Tatverdacht geltend gemacht, fehlt es grundsätzlich am nicht wieder gutzumachenden Nachteil (Urteile 7B_292/2023 vom 31. August 2023 E. 2.1; 7B_127/2023 vom 14. August 2023 E. 2.2; 7B_58/2023 vom 10. Juli 2023 E. 2.1; je mit weiteren Hinweisen). Woraus sich der nicht wieder gutzumachende Nachteil ergeben soll, ist in der Beschwerdeschrift darzulegen, sofern dies nicht offensichtlich ist ( BGE 141 IV 284 E. 2.3, 289 E. 1.3, je mit Hinweisen).</w:t>
      </w:r>
    </w:p>
    <w:p>
      <w:r>
        <w:rPr>
          <w:b/>
        </w:rPr>
        <w:t>E. 1.3.1</w:t>
      </w:r>
    </w:p>
    <w:p>
      <w:r>
        <w:t>Der Beschwerdeführer macht geltend, er würde einen nicht wieder gutzumachenden Nachteil erleiden, wenn die Strafuntersuchungsbehörde alle Daten auf dem versiegelten Mobiltelefon und den zwei Datenträgern einsehen würde, weil sich darauf Anwaltskorrespondenz befinde. Damit vermag er im vorliegenden Fall keinen nicht wieder gutzumachenden Nachteil im Sinne von Art. 93 Abs. 1 lit. a BGG zu begründen. Gemäss den für das Bundesgericht verbindlichen Feststellungen der Vorinstanz ( Art. 105 Abs. 1 BGG ) wurden die gesiegelten Daten gestützt auf die Suchangaben des Beschwerdeführers auf geheimnisgeschützte Anwaltskorrespondenz durchsucht. Die 46 Dateien, auf denen sich Anwaltskorrespondenz befindet, wurden von der Vorinstanz anlässlich der Triageverhandlung ausgesondert und das Entsiegelungsgesuch wurde im angefochtenen Entscheid in Bezug auf diese 46 Dateien abgewiesen. Vor diesem Hintergrund hat der Beschwerdeführer nicht mehr zu befürchten, dass die Strafverfolgungsbehörde Einblick in die von ihm geltend gemachte geheimnisgeschützte Anwaltskorrespondenz erhält.</w:t>
      </w:r>
    </w:p>
    <w:p>
      <w:r>
        <w:rPr>
          <w:b/>
        </w:rPr>
        <w:t>E. 1.3.2</w:t>
      </w:r>
    </w:p>
    <w:p>
      <w:r>
        <w:t>Nichts zu seinen Gunsten ableiten kann der Beschwerdeführer, wenn er sich im Kern seiner Rügen auf den Standpunkt stellt, das sichergestellte Mobiltelefon sei nicht ordentlich gesiegelt worden, da die amtlichen Siegel erst mehrere Tage nach dem Siegelungsantrag und auch erst nach der Datenspiegelung angebracht worden seien. Damit macht er lediglich andere, allgemeine Beschlagnahmehindernisse geltend, die für sich alleine nicht zur Anrufung des Bundesgerichts berechtigen (Urteile 7B_126/2023 vom 8. Dezember 2023 E. 1.4; 7B_58/2023 vom 10. Juli 2023 E. 2.3; 1B_506/2022 vom 10. März 2023 E. 1.2; 1B_591/2022 vom 21. Dezember 2022 E. 4.2; je mit Hinweisen).</w:t>
      </w:r>
    </w:p>
    <w:p>
      <w:r>
        <w:rPr>
          <w:b/>
        </w:rPr>
        <w:t>E. 2</w:t>
      </w:r>
    </w:p>
    <w:p>
      <w:r>
        <w:t>Auf die Beschwerde ist mangels Vorliegen eines nicht wieder gutzumachenden Nachteils im Sinne von Art. 93 Abs. 1 lit. a BGG nicht einzutreten. Bei diesem Ausgang des Verfahrens wird der Beschwerdeführer kostenpflichtig ( Art. 66 Abs. 1 BGG ). Sein Gesuch um unentgeltliche Rechtspflege und Verbeiständung ist wegen Aussichtslosigkeit der Beschwerde abzuweisen ( Art. 64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