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1306/2024 vom 26. Februar 2025</w:t>
      </w:r>
    </w:p>
    <w:p>
      <w:r>
        <w:t>Bundesgericht, 2025-02-26, DE</w:t>
      </w:r>
    </w:p>
    <w:p>
      <w:r>
        <w:rPr>
          <w:b/>
        </w:rPr>
        <w:t xml:space="preserve">Quelle: </w:t>
      </w:r>
      <w:r>
        <w:t>https://mcp.opencaselaw.ch/entscheid/bger_7B_1306_2024</w:t>
      </w:r>
    </w:p>
    <w:p>
      <w:r>
        <w:t>FR: TF 7B 1306/2024 du 26 février 2025</w:t>
      </w:r>
    </w:p>
    <w:p>
      <w:r>
        <w:t>IT: TF 7B 1306/2024 del 26 febbraio 2025</w:t>
      </w:r>
    </w:p>
    <w:p>
      <w:pPr>
        <w:pStyle w:val="Heading2"/>
      </w:pPr>
      <w:r>
        <w:t>Regeste</w:t>
      </w:r>
    </w:p>
    <w:p>
      <w:r>
        <w:t>Gewährung der Vollzugsform der gemeinnützigen Arbeit | Straf- und Massnahmenvollzug</w:t>
      </w:r>
    </w:p>
    <w:p>
      <w:pPr>
        <w:pStyle w:val="Heading2"/>
      </w:pPr>
      <w:r>
        <w:t>Erwägungen</w:t>
      </w:r>
    </w:p>
    <w:p>
      <w:r>
        <w:rPr>
          <w:b/>
        </w:rPr>
        <w:t>E. 1</w:t>
      </w:r>
    </w:p>
    <w:p>
      <w:r>
        <w:t>Der Beschwerdeführer erhob am 5. Dezember 2024 (Postaufgabe) Beschwerde in Strafsachen gegen das Urteil des Verwaltungsgerichts des Kantons Zürich vom 30. Oktober 2024.</w:t>
      </w:r>
    </w:p>
    <w:p>
      <w:r>
        <w:rPr>
          <w:b/>
        </w:rPr>
        <w:t>E. 2</w:t>
      </w:r>
    </w:p>
    <w:p>
      <w:r>
        <w:t>Die Partei, die das Bundesgericht anruft, hat einen Kostenvorschuss zu bezahlen ( Art. 62 Abs. 1 BGG ).</w:t>
      </w:r>
    </w:p>
    <w:p>
      <w:r>
        <w:rPr>
          <w:b/>
        </w:rPr>
        <w:t>E. 3</w:t>
      </w:r>
    </w:p>
    <w:p>
      <w:r>
        <w:t>Dem Beschwerdeführer wurde mit Verfügung vom 9. Dezember 2024 mit Gerichtsurkunde eine Frist bis zum 9. Januar 2025 angesetzt, um dem Bundesgericht einen Kostenvorschuss von Fr. 800.-- einzuzahlen. Dieser reagierte mit Eingabe vom 13. Dezember 2024, in welcher er um Ratenzahlung ersuchte. Dies wurde unter Verweis auf die fehlende Begründung des Gesuchs und auf das Beschleunigungsgebot abgelehnt. Die bis zum 31. Januar 2025 erstreckte Frist verstrich ungenutzt, weshalb dem Beschwerdeführer mit Verfügung vom 5. Februar 2025, wiederum mittels Gerichtsurkunde, die gesetzlich vorgeschriebene und nicht mehr erstreckbare Nachfrist zur Leistung des Kostenvorschusses bis am 17. Februar 2025 angesetzt wurde, unter dem Hinweis, dass bei Nichtleistung auf die Beschwerde nicht eingetreten werde. Der Beschwerdeführer reagierte mit einer weiteren Eingabe, erneut ohne den Kostenvorschuss zu leisten, die Beschwerde zurückzuziehen oder ein Gesuch um unentgeltliche Rechtspflege zu stellen. Der Kostenvorschuss wurde innert der angesetzten Nachfrist nicht geleistet (vgl. Art. 48 Abs. 4 BGG ), weshalb auf die Beschwerde androhungsgemäss gestützt auf Art. 62 Abs. 3 BGG im Verfahren nach Art. 108 BGG nicht einzutreten ist.</w:t>
      </w:r>
    </w:p>
    <w:p>
      <w:r>
        <w:rPr>
          <w:b/>
        </w:rPr>
        <w:t>E. 4</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