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7B_1302/2025 vom 5. Februar 2026</w:t>
      </w:r>
    </w:p>
    <w:p>
      <w:r>
        <w:t>Bundesgericht, 2026-02-05, DE</w:t>
      </w:r>
    </w:p>
    <w:p>
      <w:r>
        <w:rPr>
          <w:b/>
        </w:rPr>
        <w:t xml:space="preserve">Quelle: </w:t>
      </w:r>
      <w:r>
        <w:t>https://mcp.opencaselaw.ch/entscheid/bger_7B_1302_2025</w:t>
      </w:r>
    </w:p>
    <w:p>
      <w:r>
        <w:t>FR: TF 7B_1302/2025 du 5 février 2026</w:t>
      </w:r>
    </w:p>
    <w:p>
      <w:r>
        <w:t>IT: TF 7B_1302/2025 del 5 febbraio 2026</w:t>
      </w:r>
    </w:p>
    <w:p>
      <w:pPr>
        <w:pStyle w:val="Heading2"/>
      </w:pPr>
      <w:r>
        <w:t>Erwägungen</w:t>
      </w:r>
    </w:p>
    <w:p>
      <w:r>
        <w:rPr>
          <w:b/>
        </w:rPr>
        <w:t>E. 1</w:t>
      </w:r>
    </w:p>
    <w:p>
      <w:r>
        <w:t>Mit Verfügung vom 1. September 2025 wies die Staatsanwaltschaft des Kantons Solothurn ein Gesuch von A.________ (nachfolgend: die Beschwerdeführerin) um Stundung einer Geldstrafe in der Höhe von Fr. 3'300.-- ab. Auf das weitere Ersuchen der Beschwerdeführerin, es sei die von der Gerichtskasse veranlasste Betreibung aufzuheben bzw. zu sistieren und die Angelegenheit zur materiellen Neubeurteilung des Härtefalls an die Staatsanwaltschaft zurückzuweisen, trat diese nicht ein. Dagegen erhob die Beschwerdeführerin Beschwerde, welche mit Beschluss vom 28. Oktober 2025 vom Obergericht des Kantons Solothurn abgewiesen wurde.</w:t>
      </w:r>
    </w:p>
    <w:p>
      <w:r>
        <w:t>Die Beschwerdeführerin gelangt an das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erwägt, da die Vollstreckungsverjährung bereits am 10. August 2026 eintrete, habe die Staatsanwaltschaft das Stundungsgesuch zu Recht abgelehnt. An die Stelle der Geldstrafe trete eine Freiheitsstrafe, falls eine verurteilte Person die Geldstrafe nicht bezahle und sie auf dem Betreibungsweg uneinbringlich sei, was bedeute, dass ein Pfändungsverlustschein vorliegen müsse oder dass von einer Betreibung aufgrund der offenkundigen Aussichtslosigkeit eines Ergebnisses habe abgesehen werden dürfen. Unter Berücksichtigung des laufenden Inkassoverfahrens rechtfertige sich daher keine Stundung mehr, da ansonsten die Vollstreckungsverjährung drohen würde. Die Gewährung von Ratenzahlungen rechtfertige sich angesichts dieser kurzen Zeitdauer ebenfalls nicht mehr. Im Übrigen sei die Staatsanwaltschaft für das Inkassoverfahren nicht zuständig.</w:t>
      </w:r>
    </w:p>
    <w:p>
      <w:r>
        <w:t>Mit diesen Erwägungen setzt sich die Beschwerdeführerin nicht ansatzweise auseinander. So ergibt sich aus der Beschwerde nicht, was am angefochtenen Entscheid in tatsächlicher oder rechtlicher Hinsicht fehlerhaft sein sollte. Die blosse Anrufung von Gesetzes- und Verfassungsbestimmungen genügt hierfür nicht. Dass und inwiefern die Vorinstanz bei ihren tatsächlichen Feststellungen in Willkür verfallen wäre und/oder beim von ihr festgestellten Sachverhalt gegen das Recht verstossen hätte, legt die Beschwerdeführerin jedenfalls nicht dar. Damit vermag sie den Begründungsanforderungen vor Bundesgericht nicht nachzukommen. Der Begründungsmangel ist offensichtlich ( Art. 42 Abs. 2, Art. 106 Abs. 2 BGG ).</w:t>
      </w:r>
    </w:p>
    <w:p>
      <w:r>
        <w:rPr>
          <w:b/>
        </w:rPr>
        <w:t>E. 4</w:t>
      </w:r>
    </w:p>
    <w:p>
      <w:r>
        <w:t>Auf die Beschwerde ist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