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7B_1300/2025 vom 21. Oktober 2025</w:t>
      </w:r>
    </w:p>
    <w:p>
      <w:r>
        <w:t>Bundesgericht, 2025-10-21, FR</w:t>
      </w:r>
    </w:p>
    <w:p>
      <w:r>
        <w:rPr>
          <w:b/>
        </w:rPr>
        <w:t xml:space="preserve">Quelle: </w:t>
      </w:r>
      <w:r>
        <w:t>https://mcp.opencaselaw.ch/entscheid/bger_7B_1300_2025</w:t>
      </w:r>
    </w:p>
    <w:p>
      <w:r>
        <w:t>FR: TF 7B_1300/2025 du 21 octobre 2025</w:t>
      </w:r>
    </w:p>
    <w:p>
      <w:r>
        <w:t>IT: TF 7B_1300/2025 del 21 ottobre 2025</w:t>
      </w:r>
    </w:p>
    <w:p>
      <w:pPr>
        <w:pStyle w:val="Heading2"/>
      </w:pPr>
      <w:r>
        <w:t>Erwägungen</w:t>
      </w:r>
    </w:p>
    <w:p>
      <w:r>
        <w:rPr>
          <w:b/>
        </w:rPr>
        <w:t>E. 1</w:t>
      </w:r>
    </w:p>
    <w:p>
      <w:r>
        <w:t>La requête du recourant tendant à la récusation du Président de la IIe Cour de droit pénal du Tribunal fédéral, Bernard Abrecht, doit d'emblée être écartée, dans la mesure où elle est recevable, par le Président de la IIe Cour de droit pénal ( ATF 129 III 445 consid. 4.2.2; arrêt 7B_876/2024 du 1er novembre 2024 consid.1), dès lors qu'elle est manifestement abusive. En effet, le recourant se contente de répéter les motifs de récusation qu'il avait invoqués à l'appui de sa précédente requête tendant à la récusation du Président de la IIe Cour de droit pénal du Tribunal fédéral et qui ont déjà été écartés par le Tribunal fédéral (cf. arrêt 7B_393/2025 du 25 juin 2025 consid. 1).</w:t>
      </w:r>
    </w:p>
    <w:p>
      <w:r>
        <w:rPr>
          <w:b/>
        </w:rPr>
        <w:t>E. 2</w:t>
      </w:r>
    </w:p>
    <w:p>
      <w:r>
        <w:t>Le Tribunal fédéral examine d'office sa compétence ( art. 29 al. 1 LTF ) et contrôle librement la recevabilité des recours qui lui sont soumis ( ATF 150 IV 103 consid. 1).</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t>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2.2</w:t>
      </w:r>
    </w:p>
    <w:p>
      <w:r>
        <w:t>En l'occurrence, la cour cantonale a considéré que le recours déposé par le recourant par simple courrier électronique ne remplissait ni les exigences de forme de l' art. 396 al. 1 CPP , ni celles de motivation de l' art. 385 al. 1 CPP . C'est pourquoi elle l'a déclaré irrecevable.</w:t>
      </w:r>
    </w:p>
    <w:p>
      <w:r>
        <w:rPr>
          <w:b/>
        </w:rPr>
        <w:t>E. 2.3</w:t>
      </w:r>
    </w:p>
    <w:p>
      <w:r>
        <w:t>Face à cette double motivation, le recourant développe, sur plus de 80 pages, une argumentation qui vise en substance à démontrer que la décision entreprise s'inscrirait dans le cadre du harcèlement "administratif et procédural continu" qu'il subirait de la part des autorités administratives et judiciaires vaudoises. Pour ce faire, il soulève divers "griefs" (intitulés par exemple: "Violation flagrante de l'impartialité objective et subjective - partialité structurelle et corporatiste lausannoise" ou encore "Instrumentalisation de la crise sanitaire Covid-19, abus d'autorité et discrimination systémique") qui sont peu compréhensibles, n'ont aucune structure claire, mélangent les faits et le droit et apparaissent appellatoires, respectivement redondants. À l'appui de son argumentation le recourant cite au surplus de nombreuses bases légales et références jurisprudentielles dont certaines sont dénuées de pertinence, sinon erronées. Tel est par exemple le cas lorsqu'il soutient que, selon l' ATF 142 II 218 , un recours déposé par voie électronique serait équivalent à la forme écrite "si traçable et lisible", alors que cet arrêt concerne des questions liées à l'assistance administrative en matière fiscale. Une telle argumentation prolixe et confuse ne respecte pas les exigences de motivation d'un recours en matière pénale au Tribunal fédéral précitées. Le recourant ne semble au surplus développer qu'un seul argument topique, soit que, selon le "droit suisse", "le courriel constitue[rait] une écriture écrite, dès lors que l'autorité en accuse réception, en comprend la portée et répond", alors qu'il lui appartenait de s'attaquer aux deux motifs d'irrecevabilité évoqués par la cour cantonale.</w:t>
      </w:r>
    </w:p>
    <w:p>
      <w:r>
        <w:rPr>
          <w:b/>
        </w:rPr>
        <w:t>E. 2.4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3</w:t>
      </w:r>
    </w:p>
    <w:p>
      <w:r>
        <w:t>Le recourant, qui succombe, supportera les frais judiciaires.</w:t>
      </w:r>
    </w:p>
    <w:p>
      <w:r>
        <w:t>La cause étant jugée, la requête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