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7B_12/2025 vom 22. Januar 2025</w:t>
      </w:r>
    </w:p>
    <w:p>
      <w:r>
        <w:t>Bundesgericht, 2025-01-22, DE</w:t>
      </w:r>
    </w:p>
    <w:p>
      <w:r>
        <w:rPr>
          <w:b/>
        </w:rPr>
        <w:t xml:space="preserve">Quelle: </w:t>
      </w:r>
      <w:r>
        <w:t>https://mcp.opencaselaw.ch/entscheid/bger_7B_12_2025</w:t>
      </w:r>
    </w:p>
    <w:p>
      <w:r>
        <w:t>FR: TF 7B_12/2025 du 22 janvier 2025</w:t>
      </w:r>
    </w:p>
    <w:p>
      <w:r>
        <w:t>IT: TF 7B_12/2025 del 22 gennaio 2025</w:t>
      </w:r>
    </w:p>
    <w:p>
      <w:pPr>
        <w:pStyle w:val="Heading2"/>
      </w:pPr>
      <w:r>
        <w:t>Erwägungen</w:t>
      </w:r>
    </w:p>
    <w:p>
      <w:r>
        <w:rPr>
          <w:b/>
        </w:rPr>
        <w:t>E. 1</w:t>
      </w:r>
    </w:p>
    <w:p>
      <w:r>
        <w:t>Angefochten ist ein kantonal letztinstanzlicher Entscheid betreffend die Entlassung aus der Untersuchungshaft bzw. eine Verlängerung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einzutreten.</w:t>
      </w:r>
    </w:p>
    <w:p>
      <w:r>
        <w:rPr>
          <w:b/>
        </w:rPr>
        <w:t>E. 2</w:t>
      </w:r>
    </w:p>
    <w:p>
      <w:r>
        <w:t>Nach Art. 221 Abs. 1 StPO ist Untersuchungshaft unter anderem zulässig, wenn die beschuldigte Person eines Verbrechens oder Vergehens dringend verdächtig ist und ernsthaft zu befürchten ist, dass sie Personen beeinflusst oder auf Beweismittel einwirkt, um so die Wahrheitsfindung zu beeinträchtigen (lit. b; Kollusionsgefahr).</w:t>
      </w:r>
    </w:p>
    <w:p>
      <w:r>
        <w:t>Die Vorinstanz hat den dringenden Tatverdacht sowie den besonderen Haftgrund der Kollusionsgefahr bejaht.</w:t>
      </w:r>
    </w:p>
    <w:p>
      <w:r>
        <w:rPr>
          <w:b/>
        </w:rPr>
        <w:t>E. 2.1</w:t>
      </w:r>
    </w:p>
    <w:p>
      <w:r>
        <w:t>Der Beschwerdeführer bestreitet den dringenden Tatverdacht vor Bundesgericht nicht. Er kritisiert aber die vorinstanzliche Annahme von Kollusionsgefahr als bundesrechtswidrig.</w:t>
      </w:r>
    </w:p>
    <w:p>
      <w:r>
        <w:rPr>
          <w:b/>
        </w:rPr>
        <w:t>E. 2.2</w:t>
      </w:r>
    </w:p>
    <w:p>
      <w:r>
        <w:t>Der Haftgrund der Kollusionsgefahr liegt vor, wenn ernsthaft zu befürchten ist, dass der Beschuldigte Personen beeinflusst oder auf Beweismittel einwirkt, um so die Wahrheitsfindung zu beeinträchtigen ( Art. 221 Abs. 1 lit. b StPO ). Strafprozessuale Haft wegen Kollusions- bzw. Verdunkelungsgefahr soll verhindern, dass die beschuldigte Person die wahrheitsgetreue Abklärung des Sachverhalts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Haftgrunds ist nach Massgabe der Umstände des jeweiligen Einzelfalls zu prüfen. 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 BGE 137 IV 122 E. 4.2 ; 132 I 21 E. 3.2 f.; Urteil 7B_687/2024 vom 12. Juli 2024 E. 4.1; je mit Hinweisen).</w:t>
      </w:r>
    </w:p>
    <w:p>
      <w:r>
        <w:rPr>
          <w:b/>
        </w:rPr>
        <w:t>E. 2.3</w:t>
      </w:r>
    </w:p>
    <w:p>
      <w:r>
        <w:t>Die Vorinstanz hält im angefochtenen Beschluss fest, die Strafuntersuchung befinde sich in Bezug auf den Vorwurf der Drohung vor dem Abschluss. Wie bereits ausgeführt, sind bei diesem Stand des Verfahrens besonders hohe Anforderungen an den Nachweis von Verdunkelungsgefahr zu stellen (vgl. E. 2.2 hiervor). Mit dem ehemaligen Nachbar des Beschwerdeführers, der von ihm bedroht wurde, fand sodann eine Konfrontationseinvernahme statt. Die Staatsanwaltschaft hat weder im Verfahren vor der Vorinstanz noch im bundesgerichtlichen Verfahren erklärt, den Nachbarn noch einmal einvernehmen oder sonst noch weitere Beweise erheben zu wollen.</w:t>
      </w:r>
    </w:p>
    <w:p>
      <w:r>
        <w:t>Zwar handelt es sich vorliegend um eine "Aussage gegen Aussage"-Konstellation. Den Aussagen des ehemaligen Nachbarn dürfte im Rahmen der Beweiswürdigung eine entscheidende Bedeutung zukommen und es kann nicht ausgeschlossen werden, dass das erstinstanzliche Sachgericht den Nachbarn des Beschwerdeführers erneut befragen wird. Konkrete Anhaltspunkte, welche für eine hohe Wahrscheinlichkeit von Kollusionshandlungen seitens des Beschwerdeführers sprechen, sind vorliegend indessen nicht ersichtlich. Solche lassen sich, entgegen der Auffassung der Vorinstanz, insbesondere auch nicht daraus ableiten, dass der Beschwerdeführer mit dem Geschädigten via Briefe Kontakt aufgenommen und diesen um Rückzug der Strafanzeige gebeten haben soll. Wie erwähnt, hat eine Konfrontationseinvernahme stattgefunden und der Geschädigte hat an seinem Strafantrag festgehalten. Nachdem das Sachgericht die Beweise und damit auch die Aussagen der Tatbeteiligten frei würdigt ( Art. 10 Abs. 2 StPO ), ist es unter diesen Umständen zumindest fraglich, ob im vorliegenden Fall eine allfällige Einflussnahme des Beschwerdeführers auf das Aussageverhalten des Geschädigten überhaupt noch zielführend wäre.</w:t>
      </w:r>
    </w:p>
    <w:p>
      <w:r>
        <w:t>Jedenfalls ist nicht ersichtlich und von der Vorinstanz auch nicht dargetan, inwiefern der Beschwerdeführer bei seiner Freilassung vorliegend die wahrheitsgetreue Abklärung des Sachverhalts noch vereiteln oder gefährden könnte bzw. inwiefern noch eine massgebliche Beeinträchtigung des Strafverfahrens wegen Verdunkelung drohen könnte. Nicht zielführend ist jedenfalls die Erwägung der Vorinstanz, die Kontaktaufnahmen des Beschwerdeführers "deute auf einen mangelnden Respekt gegenüber dem Geschädigten und dessen Entschluss, an seinem Strafbedürfnis festzuhalten hin". Daraus lässt sich, wenn überhaupt, einzig die theoretische Möglichkeit ableiten, dass der Beschuldigte kolludieren könnte. Nicht ableiten lassen sich daraus aber konkrete Anhaltspunkte hierfür. Die rein theoretische Möglichkeit genügt gemäss ständiger bundesgerichtlicher Rechtsprechung jedoch nicht, um Haft unter diesem Titel zu rechtfertigen (vgl. E. 2.2 hiervor).</w:t>
      </w:r>
    </w:p>
    <w:p>
      <w:r>
        <w:rPr>
          <w:b/>
        </w:rPr>
        <w:t>E. 2.4</w:t>
      </w:r>
    </w:p>
    <w:p>
      <w:r>
        <w:t>Damit ergibt sich, dass eine Kollusionsgefahr im Sinne von Art. 221 Abs. 1 lit. b StPO , welche die Fortsetzung der Untersuchungshaft des Beschwerdeführers trotz des fortgeschrittenen Stadiums des Strafverfahrens rechtfertigen würde, zu verneinen ist. Andere Haftgründe liegen gemäss dem angefochtenen Urteil keine vor.</w:t>
      </w:r>
    </w:p>
    <w:p>
      <w:r>
        <w:rPr>
          <w:b/>
        </w:rPr>
        <w:t>E. 3</w:t>
      </w:r>
    </w:p>
    <w:p>
      <w:r>
        <w:t>Nach dem Gesagten ist die Beschwerde gutzuheissen. Der angefochtene Beschluss ist aufzuheben und die Staatsanwaltschaft anzuweisen, den Beschwerdeführer unverzüglich aus der Haft zu entlassen.</w:t>
      </w:r>
    </w:p>
    <w:p>
      <w:r>
        <w:t>Für das bundesgerichtliche Verfahren sind keine Kosten zu erheben ( Art. 66 Abs. 4 BGG ). Der Kanton Zürich hat dem Rechtsvertreter des Beschwerdeführers eine angemessene Parteientschädigung zu bezahlen ( Art. 68 Abs. 1 und 2 BGG ). Damit wird das Gesuch des Beschwerdeführers um unentgeltliche Rechtspflege nach Art. 64 BGG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