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7B_127/2024 vom 3. April 2024</w:t>
      </w:r>
    </w:p>
    <w:p>
      <w:r>
        <w:t>Bundesgericht, 2024-04-03, FR</w:t>
      </w:r>
    </w:p>
    <w:p>
      <w:r>
        <w:rPr>
          <w:b/>
        </w:rPr>
        <w:t xml:space="preserve">Quelle: </w:t>
      </w:r>
      <w:r>
        <w:t>https://mcp.opencaselaw.ch/entscheid/bger_7B_127_2024</w:t>
      </w:r>
    </w:p>
    <w:p>
      <w:r>
        <w:t>FR: TF 7B_127/2024 du 3 avril 2024</w:t>
      </w:r>
    </w:p>
    <w:p>
      <w:r>
        <w:t>IT: TF 7B_127/2024 del 3 aprile 2024</w:t>
      </w:r>
    </w:p>
    <w:p>
      <w:pPr>
        <w:pStyle w:val="Heading2"/>
      </w:pPr>
      <w:r>
        <w:t>Erwägungen</w:t>
      </w:r>
    </w:p>
    <w:p>
      <w:r>
        <w:rPr>
          <w:b/>
        </w:rPr>
        <w:t>E. 1.1</w:t>
      </w:r>
    </w:p>
    <w:p>
      <w:r>
        <w:t>Les deux recours en matière pénale au Tribunal fédéral sont dirigés contre deux ordonnances portant sur des objets similaires. Ils concernent globalement le même complexe de faits et portent sur des questions juridiques identiques. Il y a donc lieu de joindre les causes et de les traiter dans un seul arrêt ( art. 24 al. 2 PCF et 71 LTF).</w:t>
      </w:r>
    </w:p>
    <w:p>
      <w:r>
        <w:rPr>
          <w:b/>
        </w:rPr>
        <w:t>E. 1.2.1</w:t>
      </w:r>
    </w:p>
    <w:p>
      <w:r>
        <w:t>Le recourant demande préalablement la récusation du Président de la IIe Cour de droit pénal du Tribunal fédéral, Bernard Abrecht, ainsi que celle de l'ensemble des juges et des greffiers qui la composent. Il soutient à cet égard que le Président Bernard Abrecht aurait agi de manière "extrêmement partiale" dans le cadre de deux précédentes procédures qui étaient pendantes auprès de la Ire Cour de droit social du Tribunal fédéral (causes 8C_719/2018 et 8F_6/2020). Aussi, la récusation des juges et des greffiers de la IIe Cour de droit pénal s'imposerait également selon lui.</w:t>
      </w:r>
    </w:p>
    <w:p>
      <w:r>
        <w:rPr>
          <w:b/>
        </w:rPr>
        <w:t>E. 1.2.2</w:t>
      </w:r>
    </w:p>
    <w:p>
      <w:r>
        <w:t>Pour autant, le recourant n'invoque concrètement aucun motif de récusation prévu par l'art. 34 al. 1 let. a à e LTF. Il n'indique en particulier pas - et on ne voit pas - en quoi le magistrat visé par la requête de récusation aurait fait preuve de partialité, respectivement en quoi il existerait un motif général de prévention au sens de l' art. 34 al. 1 let . e LTF. On ajoutera que la participation à une procédure antérieure devant le Tribunal fédéral - quelle qu'en soit l'issue - ne constitue pas à elle seule un motif de récusation (cf. art. 34 al. 2 LTF ).</w:t>
      </w:r>
    </w:p>
    <w:p>
      <w:r>
        <w:t>Il s'ensuit que les demandes de récusation du recourant sont manifestement mal fondées, si ce n'est abusives, de sorte qu'elles seront écartées par le Président de la IIe Cour de droit pénal ( ATF 129 III 445 consid. 4.2.2).</w:t>
      </w:r>
    </w:p>
    <w:p>
      <w:r>
        <w:rPr>
          <w:b/>
        </w:rPr>
        <w:t>E. 2</w:t>
      </w:r>
    </w:p>
    <w:p>
      <w:r>
        <w:t>L'objet de la présente procédure est strictement circonscrit aux arrêts cantonaux évoqués ci-dessus ( art. 80 al. 1 LTF ). Toutes les conclusions relatives à d'autres actes ou décisions sont irrecevables.</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w:t>
      </w:r>
    </w:p>
    <w:p>
      <w:r>
        <w:t>(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considéré que les recours cantonaux ne satisfaisaient pas aux exigences de motivation prescrites par l' art. 385 CPP et que les demandes de récusation étaient abusives -, le recourant se limite pour l'essentiel à rappeler de nombreux faits et à soulever divers arguments de fond qui, se rapportant à différentes procédures pénales et civiles, sont dénués de toute pertinence. Il ne propose au surplus aucun développement susceptible de démontrer, par une motivation conforme aux exigences en la matière, en quoi la cour cantonale aurait violé le droit fédéral en déclarant irrecevables ses recours cantonaux et ses demandes de récusation. 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7B_659/2023 du 24 novembre 2023 consid. 1; 6B_156/2022 du 8 mars 2023 consid. 14; 6B_1285/2021 du 8 mars 2023 consid. 8) -, les démarches du recourant sont procédurières et partant abusives (cf. art. 42 al. 7 LTF ).</w:t>
      </w:r>
    </w:p>
    <w:p>
      <w:r>
        <w:rPr>
          <w:b/>
        </w:rPr>
        <w:t>E. 3.4</w:t>
      </w:r>
    </w:p>
    <w:p>
      <w:r>
        <w:t>Les recours ne répondent ainsi manifestement pas aux exigences de motivation d'un recours en matière pénale au Tribunal fédéral et s'avèrent par ailleurs procéduriers. Ils doivent dès lors être déclarés irrecevables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t>Les causes étant jugées, les demandes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