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7B_1265/2025 vom 21. Januar 2026</w:t>
      </w:r>
    </w:p>
    <w:p>
      <w:r>
        <w:t>Bundesgericht, 2026-01-21, DE</w:t>
      </w:r>
    </w:p>
    <w:p>
      <w:r>
        <w:rPr>
          <w:b/>
        </w:rPr>
        <w:t xml:space="preserve">Quelle: </w:t>
      </w:r>
      <w:r>
        <w:t>https://mcp.opencaselaw.ch/entscheid/bger_7B_1265_2025</w:t>
      </w:r>
    </w:p>
    <w:p>
      <w:r>
        <w:t>FR: TF 7B_1265/2025 du 21 janvier 2026</w:t>
      </w:r>
    </w:p>
    <w:p>
      <w:r>
        <w:t>IT: TF 7B_1265/2025 del 21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19. November 2025 erhob A.________ Beschwerde gegen den Entscheid des Obergerichts des Kantons Aargau, Beschwerdekammer in Strafsachen, vom 22. Oktober 2025 betreffend Nichtanhandnahme; Gesuch um unentgeltliche Rechtspflege. Das Bundesgericht eröffnete daraufhin das Beschwerdeverfahren 7B_1265/2025.</w:t>
      </w:r>
    </w:p>
    <w:p>
      <w:r>
        <w:rPr>
          <w:b/>
        </w:rPr>
        <w:t>E. 2</w:t>
      </w:r>
    </w:p>
    <w:p>
      <w:r>
        <w:t>Mit Eingabe vom 13. Januar 2026 erklärt A.________ den vollumfänglichen Rückzug seiner Beschwerde. Bei dieser Sachlage ist das bundesgerichtliche Beschwerdeverfahren als durch Beschwerderückzug durch die Instruktionsrichterin als Einzelrichterin erledigt abzuschreiben ( Art. 32 Abs. 2 BGG ). Umständehalber werden keine Gerichtskosten erhoben ( Art. 66 Abs.1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