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1255/2024 vom 17. Februar 2025</w:t>
      </w:r>
    </w:p>
    <w:p>
      <w:r>
        <w:t>Bundesgericht, 2025-02-17, DE</w:t>
      </w:r>
    </w:p>
    <w:p>
      <w:r>
        <w:rPr>
          <w:b/>
        </w:rPr>
        <w:t xml:space="preserve">Quelle: </w:t>
      </w:r>
      <w:r>
        <w:t>https://mcp.opencaselaw.ch/entscheid/bger_7B_1255_2024</w:t>
      </w:r>
    </w:p>
    <w:p>
      <w:r>
        <w:t>FR: TF 7B 1255/2024 du 17 février 2025</w:t>
      </w:r>
    </w:p>
    <w:p>
      <w:r>
        <w:t>IT: TF 7B 1255/2024 del 17 febbraio 2025</w:t>
      </w:r>
    </w:p>
    <w:p>
      <w:pPr>
        <w:pStyle w:val="Heading2"/>
      </w:pPr>
      <w:r>
        <w:t>Regeste</w:t>
      </w:r>
    </w:p>
    <w:p>
      <w:r>
        <w:t>Ergänzung der Anklage | Strafprozess</w:t>
      </w:r>
    </w:p>
    <w:p>
      <w:pPr>
        <w:pStyle w:val="Heading2"/>
      </w:pPr>
      <w:r>
        <w:t>Erwägungen</w:t>
      </w:r>
    </w:p>
    <w:p>
      <w:r>
        <w:rPr>
          <w:b/>
        </w:rPr>
        <w:t>E. 1</w:t>
      </w:r>
    </w:p>
    <w:p>
      <w:r>
        <w:t>Das Bundesgericht prüft seine Zuständigkeit und die weiteren Eintretensvoraussetzungen von Amtes wegen ( Art. 29 Abs. 1 BGG ) und mit freier Kognition ( BGE 150 IV 103 E. 1; 149 IV 97 E. 1, 9 E. 2).</w:t>
      </w:r>
    </w:p>
    <w:p>
      <w:r>
        <w:rPr>
          <w:b/>
        </w:rPr>
        <w:t>E. 1.1</w:t>
      </w:r>
    </w:p>
    <w:p>
      <w:r>
        <w:t>Angefochten ist ein kantonal letztinstanzlicher Entscheid ( Art. 80 BGG ) betreffend eine Strafsache ( Art. 78 Abs. 1 BGG ). Er schliesst das gegen den Beschwerdeführer geführte Strafverfahren nicht ab und betrifft weder die Zuständigkeit noch ein Ausstandsbegehren (vgl. Art. 92 BGG ). Es handelt sich somit um einen anderen selbständig eröffneten Vor- bzw. Zwischenentscheid im Sinne von Art. 93 BGG .</w:t>
      </w:r>
    </w:p>
    <w:p>
      <w:r>
        <w:rPr>
          <w:b/>
        </w:rPr>
        <w:t>E. 1.2.1</w:t>
      </w:r>
    </w:p>
    <w:p>
      <w:r>
        <w:t>Gegen andere selbständig eröffnete Vor- und Zwischenentscheide ist die Beschwerde gemäss Art. 93 Abs. 1 lit. a BGG nur zulässig, wenn diese einen nicht wieder gutzumachenden Nachteil bewirken können. Dabei muss es sich um einen Nachteil rechtlicher Natur handeln, der später nicht mehr durch einen Endentscheid oder einen anderen, für den Beschwerdeführer günstigen Entscheid wieder gutgemacht werden kann. Ein lediglich tatsächlicher Nachteil wie die Verteuerung oder Verlängerung des Verfahrens genügt nicht ( BGE 148 IV 155 E. 1.1; 144 IV 321 E. 2.3; je mit Hinweisen). Woraus sich der nicht wieder gutzumachende Nachteil ergeben soll, ist in der Beschwerdeschrift darzulegen, sofern dies nicht offensichtlich ist (vgl. Art. 42 Abs. 1 BGG ; BGE 141 IV 289 E. 1.3, 284 E. 2.3; je mit Hinweisen). Die selbständige Anfechtbarkeit von Zwischenentscheiden bildet eine Ausnahme vom Grundsatz, dass sich das Bundesgericht mit jeder Angelegenheit nur einmal befassen und diese hierbei insgesamt beurteilen soll. Sie ist restriktiv zu handhaben ( BGE 150 III 248 E. 1.2; 140 V 321 E. 3.6; Urteil 7B_233/2024 vom 12. April 2024 E. 1.2).</w:t>
      </w:r>
    </w:p>
    <w:p>
      <w:r>
        <w:rPr>
          <w:b/>
        </w:rPr>
        <w:t>E. 1.2.2</w:t>
      </w:r>
    </w:p>
    <w:p>
      <w:r>
        <w:t>Gemäss bundesgerichtlicher Rechtsprechung kann auf das Erfordernis des nicht wieder gutzumachenden Nachteils verzichtet werden, wenn die beschwerdeführende Partei mit hinreichender Begründung eine Rechtsverweigerung rügt ( BGE 148 IV 155 E. 2.4; 138 IV 258 E. 1.1; je mit Hinweisen). Dies ist hier nicht der Fall. Eine Rechtsverweigerung ist im Übrigen vorliegend nicht erkennbar.</w:t>
      </w:r>
    </w:p>
    <w:p>
      <w:r>
        <w:rPr>
          <w:b/>
        </w:rPr>
        <w:t>E. 1.2.3</w:t>
      </w:r>
    </w:p>
    <w:p>
      <w:r>
        <w:t>Den durch den angefochtenen Entscheid drohenden nicht wieder gutzumachenden Nachteil sieht der Beschwerdeführer in der Verletzung des Grundsatzes der "double instance" und von Art. 32 Abs. 3 BV . Mit diesen Vorbringen tut er aber nicht einen Nachteil dar, der auch durch einen für ihn günstigen künftigen Entscheid nicht mehr behoben werden könnte (vgl. Urteil 7B_330/2023 vom 11. April 2024 E. 1.2). Vielmehr bleibt mit dem angefochtenen Beschluss der Ausgang des Verfahrens offen und namentlich ein für den Beschwerdeführer günstigen künftigen Entscheid in der Sache weiterhin möglich. Abgesehen davon kann sich der Beschwerdeführer gegen einen für ihn allenfalls nachteiligen Berufungsentscheid mit Beschwerde in Strafsachen an das Bundesgericht wenden und die gegen den angefochtenen Beschluss erhobenen Rügen nochmals vorbringen. Auf die Beschwerde ist mangels nicht wieder gutzumachenden Nachteils im Sinne von Art. 93 Abs. 1 lit. a BGG nicht einzutreten.</w:t>
      </w:r>
    </w:p>
    <w:p>
      <w:r>
        <w:rPr>
          <w:b/>
        </w:rPr>
        <w:t>E. 2</w:t>
      </w:r>
    </w:p>
    <w:p>
      <w:r>
        <w:t>Auf die Beschwerde ist nicht einzutreten. Bei diesem Ausgang des Verfahrens wird der Beschwerdeführer kostenpflichtig ( Art. 66 Abs. 1 BGG ). Das Gesuch um unentgeltliche Rechtspflege und Verbeiständung ist wegen Aussichtslosigkeit der Rechtsbegehren ( Art. 64 Abs. 1 BGG )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