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7B_1252/2024 vom 10. Juni 2025</w:t>
      </w:r>
    </w:p>
    <w:p>
      <w:r>
        <w:t>Bundesgericht, 2025-06-10, DE</w:t>
      </w:r>
    </w:p>
    <w:p>
      <w:r>
        <w:rPr>
          <w:b/>
        </w:rPr>
        <w:t xml:space="preserve">Quelle: </w:t>
      </w:r>
      <w:r>
        <w:t>https://mcp.opencaselaw.ch/entscheid/bger_7B_1252_2024</w:t>
      </w:r>
    </w:p>
    <w:p>
      <w:r>
        <w:t>FR: TF 7B_1252/2024 du 10 juin 2025</w:t>
      </w:r>
    </w:p>
    <w:p>
      <w:r>
        <w:t>IT: TF 7B_1252/2024 del 10 giugno 2025</w:t>
      </w:r>
    </w:p>
    <w:p>
      <w:pPr>
        <w:pStyle w:val="Heading2"/>
      </w:pPr>
      <w:r>
        <w:t>Erwägungen</w:t>
      </w:r>
    </w:p>
    <w:p>
      <w:r>
        <w:rPr>
          <w:b/>
        </w:rPr>
        <w:t>E. 1.1</w:t>
      </w:r>
    </w:p>
    <w:p>
      <w:r>
        <w:t>Mit der angefochtenen, kantonal letztinstanzlichen (Art. 248a Abs. 4 in Verbindung mit Art. 380 StPO ) Verfügung wurde über die Entsiegelung verschiedener physischer Unterlagen im Rahmen eines Strafverfahrens entschieden. Dagegen steht die Beschwerde in Strafsachen grundsätzlich offen ( Art. 78 Abs. 1 und Art. 80 Abs. 1 BGG ).</w:t>
      </w:r>
    </w:p>
    <w:p>
      <w:r>
        <w:rPr>
          <w:b/>
        </w:rPr>
        <w:t>E. 1.2</w:t>
      </w:r>
    </w:p>
    <w:p>
      <w:r>
        <w:t>Entgegen dem Dafürhalten des Beschwerdeführers schliesst die angefochtene Verfügung das gegen ihn geführte Strafverfahren wegen mehrfacher qualifizierter ungetreuer Geschäftsbesorgung jedoch nicht ab. Da die Verfügung weder die Zuständigkeit noch ein Ausstandsbegehren im Sinne von Art. 92 BGG betrifft, handelt es sich dabei um einen anderen selbstständig eröffneten Zwischenentscheid im Sinne von Art. 93 BGG . Damit ist sie gemäss Abs. 1 dieser Bestimmung nur dann unmittelbar mit Beschwerde an das Bundesgericht anfechtbar, wenn sie einen nicht wieder gutzumachenden Nachteil bewirken kann (lit. a) oder wenn die Gutheissung der Beschwerde sofort einen Endentscheid herbeiführen und damit einen bedeutenden Aufwand an Zeit oder Kosten für ein weitläufiges Beweisverfahren ersparen würde (lit. b).</w:t>
      </w:r>
    </w:p>
    <w:p>
      <w:r>
        <w:t>Beim drohenden nicht wieder gutzumachenden Nachteil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je mit Hinweisen).</w:t>
      </w:r>
    </w:p>
    <w:p>
      <w:r>
        <w:rPr>
          <w:b/>
        </w:rPr>
        <w:t>E. 1.3</w:t>
      </w:r>
    </w:p>
    <w:p>
      <w:r>
        <w:t>Der Beschwerdeführer, der fälschlicherweise vom Vorliegen eines Endentscheids im Sinne von Art. 90 BGG ausgeht, äussert sich nicht zu den Eintretensvoraussetzungen von Art. 93 Abs. 1 lit. a BGG . Entsprechend zeigt er insbesondere nicht auf, inwiefern ihm durch die streitige Verfügung ein nicht wieder gutzumachender Nachteil rechtlicher Natur erwachsen könnte. Dies ist auch nicht derart offensichtlich, dass der Beschwerdeführer auf weitere Ausführungen zu diesem Punkt hätte verzichten dürfen. Da der Beschwerdeführer ferner nicht geltend macht, dass eine Gutheissung der Beschwerde sofort im Sinne von Art. 93 Abs. 1 lit. b BGG einen Endentscheid herbeiführen könnte, sind die Voraussetzungen von Art. 93 Abs. 1 BGG für die selbstständige Anfechtung des vorliegenden Zwischenentscheids in einem bundesgerichtlichen Verfahren nicht erfüllt.</w:t>
      </w:r>
    </w:p>
    <w:p>
      <w:r>
        <w:rPr>
          <w:b/>
        </w:rPr>
        <w:t>E. 2</w:t>
      </w:r>
    </w:p>
    <w:p>
      <w:r>
        <w:t>Auf die Beschwerde ist nicht einzutreten. Dem Verfahrensausgang entsprechend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