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7B_1248/2024 vom 19. Dezember 2024</w:t>
      </w:r>
    </w:p>
    <w:p>
      <w:r>
        <w:t>Bundesgericht, 2024-12-19, DE</w:t>
      </w:r>
    </w:p>
    <w:p>
      <w:r>
        <w:rPr>
          <w:b/>
        </w:rPr>
        <w:t xml:space="preserve">Quelle: </w:t>
      </w:r>
      <w:r>
        <w:t>https://mcp.opencaselaw.ch/entscheid/bger_7B_1248_2024</w:t>
      </w:r>
    </w:p>
    <w:p>
      <w:r>
        <w:t>FR: TF 7B_1248/2024 du 19 décembre 2024</w:t>
      </w:r>
    </w:p>
    <w:p>
      <w:r>
        <w:t>IT: TF 7B_1248/2024 del 19 dicembre 2024</w:t>
      </w:r>
    </w:p>
    <w:p>
      <w:pPr>
        <w:pStyle w:val="Heading2"/>
      </w:pPr>
      <w:r>
        <w:t>Erwägungen</w:t>
      </w:r>
    </w:p>
    <w:p>
      <w:r>
        <w:rPr>
          <w:b/>
        </w:rPr>
        <w:t>E. 1</w:t>
      </w:r>
    </w:p>
    <w:p>
      <w:r>
        <w:t>Am 26. Juni 2024 erstattete der Beschwerdeführer bei der Staatsanwaltschaft des Kantons Zug (nachfolgend: Staatsanwaltschaft) Strafanzeige gegen sämtliche aktuellen Gesellschafter der B.________ GmbH, Zug. Die Staatsanwaltschaft verfügte am 27. September 2024 die Nichtanhandnahme eines Strafverfahrens gegen C.________, D.________, E.________, F.________ und G.________ wegen Betrugs. Die Verfahrenskosten wurden auf die Staatskasse genommen. Auf die vom Beschwerdeführer gegen die Nichtanhandnahmeverfügung ergriffene Beschwerde trat das Obergericht des Kantons Zug mit Verfügung vom 8. November 2024 nicht ein. Mit Beschwerde in Strafsachen vom 19. November 2024 gelangt der Beschwerdeführer dagegen an das "Team des Schweizerischen Bundesgerichts".</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3</w:t>
      </w:r>
    </w:p>
    <w:p>
      <w:r>
        <w:t>Die Beschwerde enthält kein Rechtsbegehren, lediglich aus dem Kontext lässt sich auf das Anliegen des Beschwerdeführers schliessen. Die Beschwerdelegitimation bzw. einen dem Beschwerdeführer mutmasslich zustehenden Zivilanspruch im Sinne von Art. 81 Abs. 1 lit. b Ziff. 5 BGG wird ferner nicht ansatzweise dargelegt. Bereits aus diesem Grund vermag die Beschwerde den Begründungsanforderungen nicht zu genügen. Im Übrigen begründet der Beschwerdeführer nicht, weshalb die angefochtene Verfügung in tatsächlicher oder rechtlicher Hinsicht fehlerhaft sein sollte. In der Beschwerdeschrift erfolgt keine materielle Auseinandersetzung mit den Erwägungen der Vorinstanz. Diese war nicht auf seine Eingabe vom 4. Oktober 2024 eingetreten, da sie keinen erkennbaren Beschwerdewillen - sondern lediglich eine Beschwerdeankündigung - enthielt, womit es dieser letztlich an einer hinreichenden Begründung fehlt. Die vorinstanzlichen Erwägungen werden zum Anlass genommen, um dem Bundesgericht in einigen wenigen Sätzen, die im Stil eines freien Plädoyers abgefasst sind, darzulegen, wie sich der Sachverhalt aus seiner Sicht zugetragen habe und welche Rechtsfolgen daraus zu ziehen seien. Damit beschränkt sich die Beschwerde auf appellatorische Kritik, womit sie auch diesbezüglich den Begründungsanforderungen nicht genügt. Der Begründungsmangel ist offensichtlich. Auf die Beschwerde ist nicht einzutreten.</w:t>
      </w:r>
    </w:p>
    <w:p>
      <w:r>
        <w:rPr>
          <w:b/>
        </w:rPr>
        <w:t>E. 4</w:t>
      </w:r>
    </w:p>
    <w:p>
      <w:r>
        <w:t>Der Beschwerdeführer rügt ferner keine Verletzung von Verfahrensrechten, deren Missachtung einer formellen Rechtsverweigerung gleichkommen würde ("Star-Praxis"; BGE 146 IV 76 E. 2; 141 IV 1 E. 1.1), weshalb auch unter diesem Titel nicht auf die Beschwerde einzutreten ist.</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