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7B_1241/2024 vom 4. Februar 2025</w:t>
      </w:r>
    </w:p>
    <w:p>
      <w:r>
        <w:t>Bundesgericht, 2025-02-04, FR</w:t>
      </w:r>
    </w:p>
    <w:p>
      <w:r>
        <w:rPr>
          <w:b/>
        </w:rPr>
        <w:t xml:space="preserve">Quelle: </w:t>
      </w:r>
      <w:r>
        <w:t>https://mcp.opencaselaw.ch/entscheid/bger_7B_1241_2024</w:t>
      </w:r>
    </w:p>
    <w:p>
      <w:r>
        <w:t>FR: TF 7B_1241/2024 du 4 février 2025</w:t>
      </w:r>
    </w:p>
    <w:p>
      <w:r>
        <w:t>IT: TF 7B_1241/2024 del 4 febbraio 2025</w:t>
      </w:r>
    </w:p>
    <w:p>
      <w:pPr>
        <w:pStyle w:val="Heading2"/>
      </w:pPr>
      <w:r>
        <w:t>Erwägungen</w:t>
      </w:r>
    </w:p>
    <w:p>
      <w:r>
        <w:rPr>
          <w:b/>
        </w:rPr>
        <w:t>E. 1.1</w:t>
      </w:r>
    </w:p>
    <w:p>
      <w:r>
        <w:t>L'objet de la présente procédure est strictement circonscrit à l'arrêt cantonal attaqué (cf. art. 80 al. 1 LTF ). Toutes les éventuelles conclusions relatives à d'autres actes ou décisions sont dès lors irrecevables.</w:t>
      </w:r>
    </w:p>
    <w:p>
      <w:r>
        <w:rPr>
          <w:b/>
        </w:rPr>
        <w:t>E. 1.2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consid.1).</w:t>
      </w:r>
    </w:p>
    <w:p>
      <w:r>
        <w:rPr>
          <w:b/>
        </w:rPr>
        <w:t>E. 1.3</w:t>
      </w:r>
    </w:p>
    <w:p>
      <w:r>
        <w:t>En l'espèce, le recourant ne développe aucune argumentation à l'encontre de la motivation cantonale rejetant sa demande de récusation, ni ne prend de conclusion à cet égard; sur ce point, son écriture ne répond ainsi pas aux exigences de motivation d'un recours en matière pénale au Tribunal fédéral. Par ailleurs, face à la motivation cantonale sur le défaut de versement de sûretés, le recourant se borne pour l'essentiel à soutenir que la demande de sûretés serait inopportune car l'autorité cantonale - qui aurait commis des vices de forme -, "n'aurait pas la compétence pour juger de ses propres lacunes". Ce faisant, il échoue à mettre en évidence, par une motivation conforme aux exigences en la matière, en quoi l'autorité précédente aurait violé le droit, en particulier l' art. 383 CP , en n'entrant pas en matière sur son recours contre l'ordonnance de non-entrée en matière du 16 juillet 2024.</w:t>
      </w:r>
    </w:p>
    <w:p>
      <w:r>
        <w:rPr>
          <w:b/>
        </w:rPr>
        <w:t>E. 1.4</w:t>
      </w:r>
    </w:p>
    <w:p>
      <w:r>
        <w:t>Pour le reste, les autres conclusions que prend le recourant sont irrecevables dans la mesure où elles sortent de l'objet du litige.</w:t>
      </w:r>
    </w:p>
    <w:p>
      <w:r>
        <w:rPr>
          <w:b/>
        </w:rPr>
        <w:t>E. 2</w:t>
      </w:r>
    </w:p>
    <w:p>
      <w:r>
        <w:t>Ne répondant manifestement pas aux exigences de recevabilité et de motivation d'un recours en matière pénale au Tribunal fédéral, le recours doit être déclaré irrecevable selon la procédure simplifiée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