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7B_123/2023 vom 29. November 2023</w:t>
      </w:r>
    </w:p>
    <w:p>
      <w:r>
        <w:t>Bundesgericht, 2023-11-29, DE</w:t>
      </w:r>
    </w:p>
    <w:p>
      <w:r>
        <w:rPr>
          <w:b/>
        </w:rPr>
        <w:t xml:space="preserve">Quelle: </w:t>
      </w:r>
      <w:r>
        <w:t>https://mcp.opencaselaw.ch/entscheid/bger_7B_123_2023</w:t>
      </w:r>
    </w:p>
    <w:p>
      <w:r>
        <w:t>FR: TF 7B_123/2023 du 29 novembre 2023</w:t>
      </w:r>
    </w:p>
    <w:p>
      <w:r>
        <w:t>IT: TF 7B_123/2023 del 29 novembre 2023</w:t>
      </w:r>
    </w:p>
    <w:p>
      <w:pPr>
        <w:pStyle w:val="Heading2"/>
      </w:pPr>
      <w:r>
        <w:t>Erwägungen</w:t>
      </w:r>
    </w:p>
    <w:p>
      <w:r>
        <w:rPr>
          <w:b/>
        </w:rPr>
        <w:t>E. 1.1</w:t>
      </w:r>
    </w:p>
    <w:p>
      <w:r>
        <w:t>Die Beschwerde ist innert der Beschwerdefrist ( Art. 100 Abs. 1 BGG ) vollständig begründet einzureichen ( Art. 42 Abs. 1 BGG ). Soweit der Beschwerdeführer in seiner Eingabe vom 7. Mai 2023 die Beschwerde ergänzen will, können seine Ausführungen nicht berücksichtigt werden.</w:t>
      </w:r>
    </w:p>
    <w:p>
      <w:r>
        <w:rPr>
          <w:b/>
        </w:rPr>
        <w:t>E. 1.2</w:t>
      </w:r>
    </w:p>
    <w:p>
      <w:r>
        <w:t>Ebenso wenig ist auf die Eingabe des Beschwerdeführers vom 24. Januar 2023 einzugehen, soweit er darin weitere Rechtsbegehren stellt. Für die Behandlung des Gesuchs um Übersetzung der "wesentlichen Akten" in die Muttersprache des Beschwerdeführers und Einsicht in die kantonalen Akten ist das Bundesgericht nicht zuständig (siehe Art. 80 Abs. 1 und 99 Abs. 2 BGG).</w:t>
      </w:r>
    </w:p>
    <w:p>
      <w:r>
        <w:rPr>
          <w:b/>
        </w:rPr>
        <w:t>E. 2</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3.1</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7B_292/2023 vom 31. August 2023 E. 2.1; 7B_127/2023 vom 14. August 2023 E. 2.2; 7B_58/2023 vom 10. Juli 2023 E. 2.1; je mit weiteren Hinweisen). Der bloss pauschale Hinweis auf private Korrespondenz oder Fotos begründet keine schutzwürdigen Geheimnisinteressen im Sinne von Art. 248 Abs. 1 StPO (Urteile 7B_292/2023 vom 31. August 2023 E. 2.1; 7B_58/2023 vom 10. Juli 2023 E. 2.3; 1B_40/2022 vom 1. Dezember 2022 E. 2.2; je mit Hinweisen).</w:t>
      </w:r>
    </w:p>
    <w:p>
      <w:r>
        <w:rPr>
          <w:b/>
        </w:rPr>
        <w:t>E. 3.2</w:t>
      </w:r>
    </w:p>
    <w:p>
      <w:r>
        <w:t>Was die Eintretensvoraussetzung von Art. 93 Abs. 1 lit. a BGG betrifft, wiederholt der Beschwerdeführer im Wesentlichen die vor der Vorinstanz geltend gemachten Geheimnisrechte.</w:t>
      </w:r>
    </w:p>
    <w:p>
      <w:r>
        <w:rPr>
          <w:b/>
        </w:rPr>
        <w:t>E. 3.2.1</w:t>
      </w:r>
    </w:p>
    <w:p>
      <w:r>
        <w:t>Die Vorinstanz erwog zusammengefasst, der Beschwerdeführer komme mit seinen allgemeinen Ausführungen zu den vermeintlich schützenswerten Geheimhaltungsinteressen seiner prozessualen Obliegenheit, allfällige Entsiegelungshindernisse konkret darzulegen, nicht nach. Ein absolut geschütztes Geheimnis des Beschwerdeführers sei auch nicht erkennbar. So unterlasse er es, betreffend die behauptete Tätigkeit als Privatdetektiv im Kosovo konkret darzutun, in welchen Datenträgern und wo auf diesen Datenträgern (z.B. in welcher Applikation) sich geheimnisgeschützte Aufzeichnungen befinden sollten. Der Beschwerdeführer könne nicht einmal die Namen der vermeintlich involvierten Personen nennen, mit denen er im Rahmen seiner Tätigkeit in Kontakt gestanden habe. Ohnehin sei er nur befugt, eigene Geheimnisinteressen geltend zu machen, und nicht legitimiert, im eigenen Namen angebliche Geheimnisrechte von Drittpersonen als verletzt anzurufen. Selbst wenn der Beschwerdeführer eigene Geheimnisinteressen geltend gemacht hätte, könne die Akteneinsicht im Entsiegelungsverfahren nicht der Durchsuchung von sichergestellten und gesiegelten Geräten durch die beschuldigte Person dienen, damit diese - ex post - noch nach allfälligen Argumenten für einen Geheimnisschutz forschen könne.</w:t>
      </w:r>
    </w:p>
    <w:p>
      <w:r>
        <w:t>Auch betreffend die geltend gemachten Geschäftsgeheimnisse komme der Beschwerdeführer seiner Substantiierungsobliegenheit nicht nach. Zunächst sei nicht einmal klar, ob er überhaupt bei der B.________ GmbH tätig sei, was er nicht beweise und sich auch nicht aus dem eingereichten Handelsregisterauszug der genannten Gesellschaft ergebe. Selbst wenn es zutreffen würde, vermöchte der Beschwerdeführer seine Mitwirkungsobliegenheit nicht zu erfüllen. Es sei nicht ausreichend, lediglich pauschal auf geschützte Geschäftsgeheimnisse zu verweisen. Namentlich lege er nicht dar, um welche Art von Geschäftsgeheimnissen es sich handle und wo genau sich diese befinden würden. Überdies gehe aus seinen Ausführungen auch nicht hinreichend hervor, weshalb er überhaupt in eigenen, gesetzlich geschützten Geheimnisrechten betroffen sein solle. Ohnehin erscheine der Einwand der Staatsanwaltschaft plausibel, dass der Beschwerdeführer mit der B.________ GmbH bzw. deren Geschäftsführer zu kolludieren versucht habe. Damit wären die Aufzeichnungen zwischen dem Beschwerdeführer und der B.________ GmbH untersuchungsrelevant (insbesondere die Kommunikation zwischen dem Beschwerdeführer und dem Geschäftsführer der genannten Gesellschaft), weshalb der Einwand des Beschwerdeführers, diese Aufzeichnungen seien geheimnisgeschützt, unbeachtlich wäre.</w:t>
      </w:r>
    </w:p>
    <w:p>
      <w:r>
        <w:rPr>
          <w:b/>
        </w:rPr>
        <w:t>E. 3.2.2</w:t>
      </w:r>
    </w:p>
    <w:p>
      <w:r>
        <w:t>Soweit der Beschwerdeführer im Beschwerdeverfahren vor dem Bundesgericht auf diese Erwägungen der Vorinstanz überhaupt Bezug nimmt, tut er - nach wie vor - nicht substanziiert dar, inwiefern einer Entsiegelung der fraglichen Gegenstände schützenswerte Geheimhaltungsinteressen entgegenstehen sollten. Seine pauschalen Hinweise auf seine angebliche Tätigkeit als Privatdetektiv im Kosovo sowie auf private und "intime" Daten auf seinem iPhone vermögen nach der vorerwähnten Rechtsprechung jedenfalls nicht zu belegen, dass ihm durch die Entsiegelung ein nicht wieder gutzumachender Nachteil im Sinne von Art. 93 Abs. 1 lit. a BGG droht. Sein Vorbringen, er sei "nicht gehalten, auch die Geheimnisrechte inhaltlich offenzulegen", geht an der Sache vorbei. Folglich fehlt es an den Voraussetzungen einer selbständigen Anrufung des Bundesgerichts. Der Entsiegelungsentscheid ist stattdessen gemäss Art. 93 Abs. 3 BGG durch Beschwerde gegen den Endentscheid anfechtbar, soweit er sich auf dessen Inhalt auswirkt.</w:t>
      </w:r>
    </w:p>
    <w:p>
      <w:r>
        <w:t>Soweit der im vorinstanzlichen Verfahren amtlich verteidigte Beschwerdeführer im Übrigen behauptet, vor dem Zwangsmassnahmengericht sei eine effektive Verteidigung nicht gegeben gewesen, ist auf diese Rüge mangels rechtsgenüglicher Begründung nicht einzutreten (vgl. Art. 42 Abs. 2 und Art. 106 Abs. 2 BGG ). Dass der Beschwerdeführer im Verfahren vor der Vorinstanz "weder Zeit noch Gelegenheit" gehabt hätte, seine Verteidigungs- und Gehörsrechte wahrzunehmen, ist ohnehin nicht ersichtlich, bringt er doch in seiner Beschwerde vor Bundesgericht im Vergleich zum kantonalen Verfahren gerade keine neuen Argumente vor.</w:t>
      </w:r>
    </w:p>
    <w:p>
      <w:r>
        <w:rPr>
          <w:b/>
        </w:rPr>
        <w:t>E. 4</w:t>
      </w:r>
    </w:p>
    <w:p>
      <w:r>
        <w:t>Auf die Beschwerde ist nicht einzutreten. Ausgangsgemäss wird der Beschwerdeführer kostenpflichtig ( Art. 66 Abs. 1 BGG ). Da die Beschwerde aussichtslos war, kann dem Gesuch um unentgeltliche Rechtspflege nicht entsprochen werden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