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7B_122/2024 vom 18. März 2024</w:t>
      </w:r>
    </w:p>
    <w:p>
      <w:r>
        <w:t>Bundesgericht, 2024-03-18, DE</w:t>
      </w:r>
    </w:p>
    <w:p>
      <w:r>
        <w:rPr>
          <w:b/>
        </w:rPr>
        <w:t xml:space="preserve">Quelle: </w:t>
      </w:r>
      <w:r>
        <w:t>https://mcp.opencaselaw.ch/entscheid/bger_7B_122_2024</w:t>
      </w:r>
    </w:p>
    <w:p>
      <w:r>
        <w:t>FR: TF 7B_122/2024 du 18 mars 2024</w:t>
      </w:r>
    </w:p>
    <w:p>
      <w:r>
        <w:t>IT: TF 7B_122/2024 del 18 marzo 2024</w:t>
      </w:r>
    </w:p>
    <w:p>
      <w:pPr>
        <w:pStyle w:val="Heading2"/>
      </w:pPr>
      <w:r>
        <w:t>Erwägungen</w:t>
      </w:r>
    </w:p>
    <w:p>
      <w:r>
        <w:rPr>
          <w:b/>
        </w:rPr>
        <w:t>E. 1</w:t>
      </w:r>
    </w:p>
    <w:p>
      <w:r>
        <w:t>Am 7. August 2023 erstattete der Beschwerdeführer bei der Oberstaatsanwaltschaft des Kantons Zürich Strafanzeige gegen unbekannte Mitglieder des Handelsgerichts des Kantons Zürich (nachfolgend: Handelsgericht) wegen Verstosses gegen das Datenschutzgesetz, Sachentziehung, Verletzung des Schriftgeheimnisses, Unterdrückung von Urkunden und Diskriminierung. Dieses überwies die Akten der Staatsanwaltschaft Il des Kantons Zürich (nachfolgend: Staatsanwaltschaft) zur Prüfung und weiteren Veranlassung. Am 29. August 2023 verfügte die Staatsanwaltschaft die Nichtanhandnahme einer Strafuntersuchung. Die gegen die Nichtanhandnahmeverfügung erhobene Beschwerde wies das Obergericht des Kantons Zürich (nachfolgend: Obergericht) mit Beschluss vom 14. Dezember 2023 ab. Der Beschwerdeführer wendet sich mit Eingabe vom 20. Januar 2024 (der schweizerischen Botschaft in Athen übergeben am 23. Januar 2024) gegen den Beschluss des Obergerichts und beantragt - neben einer Reihe weiterer Anträge, welche entweder vom Hauptantrag umfasst oder aber weder hinreichend begründet noch vorliegend von Belang sind - sinngemäss, die Staatsanwaltschaft sei anzuweisen, das Strafverfahren anhand zu nehmen und die Untersuchung auf die Mitarbeiter der schweizerischen Botschaft in Athen auszuweiten. Er beantragt ferner die unentgeltliche Rechtspflege.</w:t>
      </w:r>
    </w:p>
    <w:p>
      <w:r>
        <w:rPr>
          <w:b/>
        </w:rPr>
        <w:t>E. 2</w:t>
      </w:r>
    </w:p>
    <w:p>
      <w:r>
        <w:t>Gegenstand des bundesgerichtlichen Verfahrens ist ausschliesslich der angefochtene Beschluss des Obergerichts vom 14. Dezember 2023 (vgl. Art. 80 Abs. 1, Art. 90 BGG ). Von vornherein nicht zu hören ist der Beschwerdeführer daher mit Anträgen, Ausführungen und Vorbringen, die ausserhalb des durch den angefochtenen Entscheid begrenzten Streitgegenstands liegen.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4</w:t>
      </w:r>
    </w:p>
    <w:p>
      <w:r>
        <w:t>Der Beschwerdeführer wirft unbekannten Mitgliedern des Handelsgerichts vor, sich in einem Verfahren, welches er vor dem Handelsgericht geführt habe, in strafrechtlich relevanter Weise zu seinem Nachteil verhalten zu haben. Der Beschwerdeführer äussert sich nicht zu seinem Beschwerderecht bzw. legt nicht dar, dass ihm ein Zivilanspruch nach Art. 81 Abs. 1 lit. b Ziff. 5 BGG zusteht. 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f.). Damit kämen gegen die vom Beschwerdeführer beanzeigten Personen einzig öffentlich-rechtliche Ansprüche bzw. ein Staatshaftungsverfahren in Frage. Der Beschwerdeführer hat keinen Zivilanspruch im Sinne von Art. 81 Abs. 1 lit. b Ziff. 5 BGG und ist damit nicht zur Beschwerde berechtigt. Er macht auch keine Rügen formeller Natur geltend, die sich von der Beurteilung der Sache trennen lassen ("Star-Praxis", BGE 146 IV 76 E.Z).</w:t>
      </w:r>
    </w:p>
    <w:p>
      <w:r>
        <w:rPr>
          <w:b/>
        </w:rPr>
        <w:t>E. 5</w:t>
      </w:r>
    </w:p>
    <w:p>
      <w:r>
        <w:t>Anzumerken bleibt, dass das Bundesgericht weder für die Entgegennahme und Behandlung von (allfälligen) Strafanzeigen zuständig noch zu deren Weiterleitung verpflichtet ist. Gleiches gilt sinngemäss für in der Beschwerdeschrift vorgebrachte aufsichtsrechtliche Anliegen, i.e. die Beschwerde auch als "Aufsichtsbeschwerde" gegen die III. Strafkammer des Obergerichts des Kantons Zürich "und die zuständigen Sachbearbeiter" zu behandeln (vgl. dazu § 79 ff. des zürcherischen Gesetzes über die Gerichts- und Behördenorganisation im Zivil- und Strafprozess [GOG] vom 10. Mai 2010 [LS 211.1]).</w:t>
      </w:r>
    </w:p>
    <w:p>
      <w:r>
        <w:rPr>
          <w:b/>
        </w:rPr>
        <w:t>E. 6</w:t>
      </w:r>
    </w:p>
    <w:p>
      <w:r>
        <w:t>Auf die Beschwerde ist mangels (Begründung der) Legitimation im Verfahren nach Art. 108 BGG nicht einzutreten. Die Gerichtskosten sind dem Beschwerdeführer aufzuerlegen ( Art. 66 Abs. 1 BGG ). Das Gesuch um unentgeltliche Rechtspflege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