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7B_1222/2025 vom 22. Dezember 2025</w:t>
      </w:r>
    </w:p>
    <w:p>
      <w:r>
        <w:t>Bundesgericht, 2025-12-22, DE</w:t>
      </w:r>
    </w:p>
    <w:p>
      <w:r>
        <w:rPr>
          <w:b/>
        </w:rPr>
        <w:t xml:space="preserve">Quelle: </w:t>
      </w:r>
      <w:r>
        <w:t>https://mcp.opencaselaw.ch/entscheid/bger_7B_1222_2025</w:t>
      </w:r>
    </w:p>
    <w:p>
      <w:r>
        <w:t>FR: TF 7B_1222/2025 du 22 décembre 2025</w:t>
      </w:r>
    </w:p>
    <w:p>
      <w:r>
        <w:t>IT: TF 7B_1222/2025 del 22 dicembre 2025</w:t>
      </w:r>
    </w:p>
    <w:p>
      <w:pPr>
        <w:pStyle w:val="Heading2"/>
      </w:pPr>
      <w:r>
        <w:t>Erwägungen</w:t>
      </w:r>
    </w:p>
    <w:p>
      <w:r>
        <w:rPr>
          <w:b/>
        </w:rPr>
        <w:t>E. 1</w:t>
      </w:r>
    </w:p>
    <w:p>
      <w:r>
        <w:t>Mit Verfügungen vom 5., 6. bzw. 10. November 2025 trat das Kantonsgericht Luzern auf die Beschwerden des Beschwerdeführers gegen die Nichtanhandnahmeverfügungen der Jugendanwaltschaft vom 18. September 2025 bzw. der Staatsanwaltschaft Abteilung 1 Luzern vom 2. und 21. Oktober 2025 bzw. der Staatsanwaltschaft Abteilung 3 Sursee vom 16. September 2025 nicht ein. Der Beschwerdeführer gelangt gegen die vier Verfügungen des Kantonsgerichts je mit Beschwerde in Strafsachen vom 11. November bzw. 13. November 2025 (Postaufgabe) an das Bundesgericht.</w:t>
      </w:r>
    </w:p>
    <w:p>
      <w:r>
        <w:rPr>
          <w:b/>
        </w:rPr>
        <w:t>E. 2</w:t>
      </w:r>
    </w:p>
    <w:p>
      <w:r>
        <w:t>Die Verfahren 7B_1222/2025, 7B_1223/2025, 7B_1224/2025 und 7B_1234/2025 sind zu vereinigen und die Beschwerden in einem einzigen Entscheid zu behandeln ( Art. 71 BGG i.V.m. Art. 24 Abs. 2 lit. b BZP [SR 273]; BGE 133 IV 215 E. 1; 126 V 283 E. 1).</w:t>
      </w:r>
    </w:p>
    <w:p>
      <w:r>
        <w:rPr>
          <w:b/>
        </w:rPr>
        <w:t>E. 3</w:t>
      </w:r>
    </w:p>
    <w:p>
      <w:r>
        <w:t>Die Eingaben des Beschwerdeführers erfüllen die Begründungsanforderungen, die an eine Beschwerde an das Bundesgericht gestellt werden, offensichtlich nicht ( Art. 42 Abs. 2 und Art. 106 Abs. 2 BGG ; BGE 148 IV 356 E. 2.1, 39 E. 2.3.5; 142 III 364 E. 2.4). So setzt er sich nicht ansatzweise mit den jeweiligen Ausführungen der Vorinstanz auseinander. Insbesondere zeigt er nicht nachvollziehbar auf, inwiefern die Vorinstanz bei ihren tatsächlichen Feststellungen jeweils in Willkür verfallen wäre und/oder beim von ihr festgestellten Sachverhalt jeweils gegen das Recht verstossen hätte. Auf die Beschwerden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r>
        <w:rPr>
          <w:b/>
        </w:rPr>
        <w:t>E. 5</w:t>
      </w:r>
    </w:p>
    <w:p>
      <w:r>
        <w:t>Der Beschwerdeführer wird darauf hingewiesen, dass querulatorische Beschwerden unzulässig sind und das Bundesgericht nicht auf solche eintritt ( Art. 42 Abs. 7,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