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1221/2024 vom 14. Februar 2025</w:t>
      </w:r>
    </w:p>
    <w:p>
      <w:r>
        <w:t>Bundesgericht, 2025-02-14, IT</w:t>
      </w:r>
    </w:p>
    <w:p>
      <w:r>
        <w:rPr>
          <w:b/>
        </w:rPr>
        <w:t xml:space="preserve">Quelle: </w:t>
      </w:r>
      <w:r>
        <w:t>https://mcp.opencaselaw.ch/entscheid/bger_7B_1221_2024</w:t>
      </w:r>
    </w:p>
    <w:p>
      <w:r>
        <w:t>FR: TF 7B 1221/2024 du 14 février 2025</w:t>
      </w:r>
    </w:p>
    <w:p>
      <w:r>
        <w:t>IT: TF 7B 1221/2024 del 14 febbraio 2025</w:t>
      </w:r>
    </w:p>
    <w:p>
      <w:pPr>
        <w:pStyle w:val="Heading2"/>
      </w:pPr>
      <w:r>
        <w:t>Regeste</w:t>
      </w:r>
    </w:p>
    <w:p>
      <w:r>
        <w:t>Lavoro di pubblica utilità; irricevabilità del ricorso in materia penale (motivazione insufficiente) | Esecuzione delle pene e delle misure</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6B_125/2024 del 5 giugno 2024 consid. 2.3.2; 7B_844/2023 del 15 dicembre 2023 consid. 1.2; 7B_828/2023 del 9 novembre 2023 consid. 1.2).</w:t>
      </w:r>
    </w:p>
    <w:p>
      <w:r>
        <w:rPr>
          <w:b/>
        </w:rPr>
        <w:t>E. 1.2</w:t>
      </w:r>
    </w:p>
    <w:p>
      <w:r>
        <w:t>In concreto, le esposte esigenze di motivazione poste dalla LTF sono completamente disattese. Nel suo ricorso, infatti, il ricorrente non si confronta minimamente con i motivi posti a fondamento della sentenza impugnata. Ciò vale sia per quanto concerne le motivazioni con le quali la Corte cantonale ha ritenuto tardiva la domanda di esecuzione in forma di lavoro di pubblica utilità delle multe di cui ai decreti di accusa del 28 giugno e 30 agosto 2022, sia per quanto concerne i motivi con i quali è stata confermata la revoca - decisa dal giudice dei provvedimenti coercitivi il 4 settembre 2024 - dell'autorizzazione all'espiazione della pena pecuniaria mediante lavoro di utilità pubblica.</w:t>
      </w:r>
    </w:p>
    <w:p>
      <w:r>
        <w:rPr>
          <w:b/>
        </w:rPr>
        <w:t>E. 2</w:t>
      </w:r>
    </w:p>
    <w:p>
      <w:r>
        <w:t>Manifestamente non motivato in modo conforme alle esposte esigenze, il ricorso dev'essere dichiarato inammissibile mediante la procedura semplificata dell' art. 108 cpv. 1 lett. b LTF . Le spese giudiziarie seguono la soccombenza e vanno quindi, di principio, accollate al ricorrente (art. 66 cpv. 1 prima frase LTF). In concreto, tuttavia, in considerazione della sua situazione personale, si giustifica di rinunciare a prelevarle (art. 66 cpv. 1 seconda frase LTF). Con l'emanazione del presente giudizio, la domanda di concessione dell'effetto sospensivo al ricorso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