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7B_1216/2025 vom 10. Dezember 2025</w:t>
      </w:r>
    </w:p>
    <w:p>
      <w:r>
        <w:t>Bundesgericht, 2025-12-10, DE</w:t>
      </w:r>
    </w:p>
    <w:p>
      <w:r>
        <w:rPr>
          <w:b/>
        </w:rPr>
        <w:t xml:space="preserve">Quelle: </w:t>
      </w:r>
      <w:r>
        <w:t>https://mcp.opencaselaw.ch/entscheid/bger_7B_1216_2025</w:t>
      </w:r>
    </w:p>
    <w:p>
      <w:r>
        <w:t>FR: TF 7B_1216/2025 du 10 décembre 2025</w:t>
      </w:r>
    </w:p>
    <w:p>
      <w:r>
        <w:t>IT: TF 7B_1216/2025 del 10 dicembre 2025</w:t>
      </w:r>
    </w:p>
    <w:p>
      <w:pPr>
        <w:pStyle w:val="Heading2"/>
      </w:pPr>
      <w:r>
        <w:t>Erwägungen</w:t>
      </w:r>
    </w:p>
    <w:p>
      <w:r>
        <w:rPr>
          <w:b/>
        </w:rPr>
        <w:t>E. 1</w:t>
      </w:r>
    </w:p>
    <w:p>
      <w:r>
        <w:t>Mit Eingabe vom 10. November 2025 führt A.________ Beschwerde in Strafsachen an das Bundesgericht gegen den Entscheid des Obergerichts des Kantons Thurgau vom 4. November 2025 betreffend Vorladung zur Hauptverhandlung vor Bezirksgericht. Es wurden keine Vernehmlassungen eingeholt.</w:t>
      </w:r>
    </w:p>
    <w:p>
      <w:r>
        <w:rPr>
          <w:b/>
        </w:rPr>
        <w:t>E. 2</w:t>
      </w:r>
    </w:p>
    <w:p>
      <w:r>
        <w:t>Der Beschwerdeführer setzt sich mit keinem Wort mit der Argumentation der Vorinstanz auseinander, mit der diese ihr Nichteintreten auf das kantonale Rechtsmittel begründet. Stattdessen schildert er in seiner weitschweifigen und über weite Teile kaum nachvollziehbaren Rechtsschrift Sachverhaltselemente, in denen er u.a. von Gehirn-Computerchips spricht, mit denen er kontrolliert und manipuliert werde. Auch wenn der Beschwerdeführer subjektiv von seinen Ausführungen überzeugt ist, geht aus seinen Ausführungen nicht ansatzweise hervor, inwiefern die Vorinstanz Bundesrecht verletzt haben soll. Die Beschwerde genügt damit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