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7B_1209/2024 vom 23. April 2026</w:t>
      </w:r>
    </w:p>
    <w:p>
      <w:r>
        <w:t>Bundesgericht, 2026-04-23, FR</w:t>
      </w:r>
    </w:p>
    <w:p>
      <w:r>
        <w:rPr>
          <w:b/>
        </w:rPr>
        <w:t xml:space="preserve">Quelle: </w:t>
      </w:r>
      <w:r>
        <w:t>https://mcp.opencaselaw.ch/entscheid/bger_7B_1209_2024</w:t>
      </w:r>
    </w:p>
    <w:p>
      <w:r>
        <w:t>FR: TF 7B_1209/2024 du 23 avril 2026</w:t>
      </w:r>
    </w:p>
    <w:p>
      <w:r>
        <w:t>IT: TF 7B_1209/2024 del 23 aprile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7B_23/2024 du 5 février 2026 consid. 1.2.2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Il peut en aller ainsi en cas d'infraction portant directement atteinte à l'intégrité physique, psychique ou sexuelle, dont la gravité apparaît telle qu'elle ouvrirait incontestablement le droit à des dommages-intérêts ou à une indemnité pour tort moral (arrêts 7B_214/2025 du 9 février 2026 consid. 2.2.2; 7B_23/2024 du 5 février 2026 consid. 1.2.2 et les arrêts cités).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 7B_563/2025 du 15 août 2025 consid. 3.1 et les arrêts cités).</w:t>
      </w:r>
    </w:p>
    <w:p>
      <w:r>
        <w:t>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7B_111/2026 du 12 mars 2026 et les références citées).</w:t>
      </w:r>
    </w:p>
    <w:p>
      <w:r>
        <w:t>Lorsque la partie plaignante se plaint d'infractions distinctes, elle doit mentionner, par rapport à chacune d'elles, en quoi consiste son dommage (arrêt 7B_487/2024 du 10 mars 2026 consid. 1.3.1).</w:t>
      </w:r>
    </w:p>
    <w:p>
      <w:r>
        <w:rPr>
          <w:b/>
        </w:rPr>
        <w:t>E. 1.1.2</w:t>
      </w:r>
    </w:p>
    <w:p>
      <w:r>
        <w:t>Dans la partie "Recevabilité" de son mémoire, le recourant se contente de soutenir avoir un intérêt juridique à recourir, sans aucunement exposer ni chiffrer les éventuelles prétentions civiles qu'il pourrait faire valoir envers les personnes contre lesquelles il a déposé plainte pénale par rapport à chacune des infractions dont il se plaint. Ce faisant, il ne satisfait pas aux exigences de motivation rappelées ci-dessus. L'existence de prétentions civiles ne peut par ailleurs pas être déduite, directement de la nature de ces infractions telles qu'alléguées.</w:t>
      </w:r>
    </w:p>
    <w:p>
      <w:r>
        <w:rPr>
          <w:b/>
        </w:rPr>
        <w:t>E. 1.1.3</w:t>
      </w:r>
    </w:p>
    <w:p>
      <w:r>
        <w:t>Le recourant ne démontre ainsi pas avoir la qualité pour recourir sur le fond en application de l'art. 81 al. 1 let. a et b ch. 5 LTF.</w:t>
      </w:r>
    </w:p>
    <w:p>
      <w:r>
        <w:rPr>
          <w:b/>
        </w:rPr>
        <w:t>E. 1.2</w:t>
      </w:r>
    </w:p>
    <w:p>
      <w:r>
        <w:t>L'art. 81 al. 1 let. b ch. 6 LTF n'entre pas en considération en l'espèce, dès lors que le recourant ne soulève aucun grief concernant son droit de porter plainte.</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w:t>
      </w:r>
    </w:p>
    <w:p>
      <w:r>
        <w:t>En l'occurrence, le recourant se plaint du rejet de sa requête d'assistance judiciaire et des sûretés qu'il a, en conséquence, dû verser. Il pourrait ainsi disposer de la qualité pour recourir à cet égard (cf. arrêt 7B_219/2024 du 13 septembre 2024 consid. 1). Toutefois, son argumentation ne respecte pas les exigences de motivation d'un recours en matière pénale au Tribunal fédéral (cf. art. 42 al. 2 et 106 LTF ; ATF 148 IV 205 consid. 2.6; 143 IV 500 consid. 1.1). En effet, le recourant se contente de soutenir de façon générale et abstraite ne pas posséder les connaissances "précises du droit pénal" nécessaires - raison pour laquelle il aurait dû utiliser ChatGPT - sans aucunement critiquer les considérations de la cour cantonale relatives à l' art. 136 CPP (cf. arrêt attaqué, consid. 25.3). Il en va de même de son argumentation en lien avec les sûretés qu'il a versées en application de l' art. 303a CPP : son argumentation consiste en effet à réitérer les arguments qu'il avait déjà soulevés devant la cour cantonale - selon lesquels l' art. 303a CPP ne serait pas applicable dans le cadre de procédures pénales ouvertes antérieurement son entrée en vigueur - sans critiquer les considérations de la cour cantonale relatives à l' art. 448 CPP (cf. arrêt attaqué, consid. 3.2.2). S'agissant enfin de ses autres griefs de violation des art. 7, 9, 13 et 29 Cst. ainsi que des art. 6 et 8 CEDH , ils visent principalement à démontrer que la cour cantonale aurait, à tort, partiellement confirmé l'ordonnance de non-entrée en matière litigieuse. Ils ne peuvent ainsi pas être séparés du fond. C'est pourquoi le recourant ne dispose pas non plus de la qualité pour recourir sous cet angle.</w:t>
      </w:r>
    </w:p>
    <w:p>
      <w:r>
        <w:rPr>
          <w:b/>
        </w:rPr>
        <w:t>E. 2</w:t>
      </w:r>
    </w:p>
    <w:p>
      <w:r>
        <w:t>Il s'ensuit que le recours doit être déclaré irrecevable.</w:t>
      </w:r>
    </w:p>
    <w:p>
      <w:r>
        <w:t>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