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7B_1205/2025 vom 6. Januar 2026</w:t>
      </w:r>
    </w:p>
    <w:p>
      <w:r>
        <w:t>Bundesgericht, 2026-01-06, FR</w:t>
      </w:r>
    </w:p>
    <w:p>
      <w:r>
        <w:rPr>
          <w:b/>
        </w:rPr>
        <w:t xml:space="preserve">Quelle: </w:t>
      </w:r>
      <w:r>
        <w:t>https://mcp.opencaselaw.ch/entscheid/bger_7B_1205_2025</w:t>
      </w:r>
    </w:p>
    <w:p>
      <w:r>
        <w:t>FR: TF 7B_1205/2025 du 6 janvier 2026</w:t>
      </w:r>
    </w:p>
    <w:p>
      <w:r>
        <w:t>IT: TF 7B_1205/2025 del 6 gennaio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le recourant a déposé une plainte pénale contre B.________ pour dommages à la propriété et violation de domicile en raison du fait qu'entre le 8 et le 9 juin 2024, ce dernier serait entré sans droit sur sa propriété pour y percer ou y faire percer des trous dans une armoire extérieure en béton lui appartenant ainsi qu'à son épouse, afin d'y fixer une palissade pour séparer leurs propriétés contiguës. Sous l'angle de la recevabilité de son recours, il soutient qu'en tant que partie plaignante, l'arrêt attaqué aurait des effets sur le jugement de ses prétentions civiles. Le recourant ne dit toutefois mot sur les prétentions civiles qu'il pourrait faire valoir dans le procès pénal envers la personne contre laquelle il a déposé plainte pénale. Il n'allègue pas plus avant, ni ne chiffre, l'éventuel dommage qu'il aurait subi et qui, le cas échéant, subsisterait en raison des trous percés dans le dos de l'armoire en béton délimitant un droit de servitude. Il n'expose en particulier pas les raisons qui l'empêcheraient de chiffrer tout éventuel dommage plus d'une année après les faits. L'existence de prétentions civiles ne peut par ailleurs pas être déduite, directement et sans ambiguïté, de la nature des infractions telles qu'alléguées.</w:t>
      </w:r>
    </w:p>
    <w:p>
      <w:r>
        <w:rPr>
          <w:b/>
        </w:rPr>
        <w:t>E. 1.3</w:t>
      </w:r>
    </w:p>
    <w:p>
      <w:r>
        <w:t>Le recourant ne démontre par conséquent pas avoir la qualité pour recourir sur le fond en application de l'art. 81 al. 1 let. a et b ch. 5 LTF.</w:t>
      </w:r>
    </w:p>
    <w:p>
      <w:r>
        <w:rPr>
          <w:b/>
        </w:rPr>
        <w:t>E. 2.1</w:t>
      </w:r>
    </w:p>
    <w:p>
      <w:r>
        <w:t>En tant que le recourant se plaint de ce que, par l'ordonnance de classement du 18 juin 2025, les frais de la procédure et une indemnité en faveur de B.________ ont été mis à sa charge, il dispose de la qualité pour recourir au sens de l' art. 81 al. 1 LTF (cf. ATF 138 IV 248 consid. 2). Cela étant, 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arrêt 6B_121/2025 du 3 juillet 2025 consid. 2.1 et les réf. citées).</w:t>
      </w:r>
    </w:p>
    <w:p>
      <w:r>
        <w:rPr>
          <w:b/>
        </w:rPr>
        <w:t>E. 2.2</w:t>
      </w:r>
    </w:p>
    <w:p>
      <w:r>
        <w:t>Or, en l'occurrence, il ne ressort pas de l'arrêt attaqué, et le recourant ne prétend pas, qu'il aurait formulé devant la cour cantonale des conclusions ou des griefs indépendants contre les chiffres II et III de l'ordonnance de classement, aux termes desquels une indemnité au sens de l' art. 432 CPP et les frais de la procédure ont été mis à sa charge. Le recourant ne soutient ainsi pas que l'autorité précédente aurait commis un déni de justice (cf. art. 29 al. 1 Cst. ) en ne se penchant pas sur cette question nonobstant la confirmation du classement de la procédure. Ses seules critiques à cet égard, selon lesquelles l'autorité précédente aurait "nécessairement dû, en cohérence avec son propre raisonnement, modifier les chiffres II et III de l'ordonnance de classement", ne sont en tout état pas conformes aux exigences accrues de motivation en la matière (cf. art. 106 al. 2 LTF ; cf. ATF 146 IV 114 consid. 2.1).</w:t>
      </w:r>
    </w:p>
    <w:p>
      <w:r>
        <w:rPr>
          <w:b/>
        </w:rPr>
        <w:t>E. 2.3</w:t>
      </w:r>
    </w:p>
    <w:p>
      <w:r>
        <w:t>Il s'ensuit que le grief, tel que formulé pour la première fois devant la Tribunal fédéral, est irrecevable.</w:t>
      </w:r>
    </w:p>
    <w:p>
      <w:r>
        <w:rPr>
          <w:b/>
        </w:rPr>
        <w:t>E. 3</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4</w:t>
      </w:r>
    </w:p>
    <w:p>
      <w:r>
        <w:t>L'irrecevabilité manifeste du recours doit ainsi être constatée dans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