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7B_1202/2025 vom 18. Dezember 2025</w:t>
      </w:r>
    </w:p>
    <w:p>
      <w:r>
        <w:t>Bundesgericht, 2025-12-18, DE</w:t>
      </w:r>
    </w:p>
    <w:p>
      <w:r>
        <w:rPr>
          <w:b/>
        </w:rPr>
        <w:t xml:space="preserve">Quelle: </w:t>
      </w:r>
      <w:r>
        <w:t>https://mcp.opencaselaw.ch/entscheid/bger_7B_1202_2025</w:t>
      </w:r>
    </w:p>
    <w:p>
      <w:r>
        <w:t>FR: TF 7B_1202/2025 du 18 décembre 2025</w:t>
      </w:r>
    </w:p>
    <w:p>
      <w:r>
        <w:t>IT: TF 7B_1202/2025 del 18 dicembre 2025</w:t>
      </w:r>
    </w:p>
    <w:p>
      <w:pPr>
        <w:pStyle w:val="Heading2"/>
      </w:pPr>
      <w:r>
        <w:t>Erwägungen</w:t>
      </w:r>
    </w:p>
    <w:p>
      <w:r>
        <w:rPr>
          <w:b/>
        </w:rPr>
        <w:t>E. 1</w:t>
      </w:r>
    </w:p>
    <w:p>
      <w:r>
        <w:t>Mit Urteil vom 15. September 2025 entschied das Obergericht des Kantons Zürich, der Beschwerdeführer werde für die Dauer von zwei Jahren mit Wirkung ab Antritt der Massnahme in den Vollzug der mit Urteil des Obergerichts des Kantons Zürich vom 9. Juli 2014 angeordneten und mit Beschluss des Bezirksgerichts Zürich vom 6. Juli 2018 verlängerten stationären therapeutischen Massnahme im Sinne von Art. 59 StGB zurückversetzt. Der Beschwerdeführer gelangte dagegen mit Beschwerde in Strafsachen vom 6. November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da sie namentlich nicht über unzulässige, rein appellatorische Kritik hinausgeht, soweit sie sich überhaupt auf den durch das angefochtene Urteil bestimmten Streitgegenstand bezieht (vgl. Art. 80 Abs. 1, Art. 90 BGG ; BGE 142 I 155 E. 4.4.2; 136 II 457 E. 4.2; 136 V 362 E. 3.4.2). Formelle Rügen, zu deren Geltendmachung der Beschwerdeführer unbesehen der fehlenden Legitimation in der Sache berechtigt wäre, da sie insbesondere von der Prüfung der Sache getrennt werden können (sog. "Star-Praxis";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