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7B_1196/2024 vom 14. November 2024</w:t>
      </w:r>
    </w:p>
    <w:p>
      <w:r>
        <w:t>Bundesgericht, 2024-11-14, DE</w:t>
      </w:r>
    </w:p>
    <w:p>
      <w:r>
        <w:rPr>
          <w:b/>
        </w:rPr>
        <w:t xml:space="preserve">Quelle: </w:t>
      </w:r>
      <w:r>
        <w:t>https://mcp.opencaselaw.ch/entscheid/bger_7B_1196_2024</w:t>
      </w:r>
    </w:p>
    <w:p>
      <w:r>
        <w:t>FR: TF 7B_1196/2024 du 14 novembre 2024</w:t>
      </w:r>
    </w:p>
    <w:p>
      <w:r>
        <w:t>IT: TF 7B_1196/2024 del 14 novembre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erstatte am 7. Dezember 2023 Strafanzeige gegen B.________ wegen Gefährdung des Lebens und Tätlichkeiten. Mit Verfügung vom 5. Juli 2024 nahm die Staatsanwaltschaft Rheinfelden-Lenzburg das Verfahren nicht an Hand. Eine dagegen von A.________ am 22. Juli 2024 erhobene Beschwerde wies das Obergericht des Kantons Aargau mit Entscheid vom 20. September 2024 ab.</w:t>
      </w:r>
    </w:p>
    <w:p>
      <w:r>
        <w:t>Mit Eingabe vom 7. November 2024 führt A.________ Beschwerde in Strafsachen an das Bundesgericht und beantragt die Aufhebung des angefochtenen Entscheids.</w:t>
      </w:r>
    </w:p>
    <w:p>
      <w:r>
        <w:rPr>
          <w:b/>
        </w:rPr>
        <w:t>E. 2</w:t>
      </w:r>
    </w:p>
    <w:p>
      <w:r>
        <w:t>Der angefochtene Entscheid wurde dem Beschwerdeführer gemäss dem Zustellnachweis der Post ("Track and Trace") am 7. Oktober 2024 zugestellt. Die Beschwerdefrist von 30 Tagen gemäss Art. 100 Abs. 1 BGG begann somit am Dienstag, 8. Oktober 2024 zu laufen ( Art. 44 Abs. 1 BGG ) und endete am Mittwoch, 6. November 2024. Der Beschwerdeführer übermittelte seine elektronische Beschwerde am 7. November 2024 dem Bundesgericht. Damit ist die Beschwerde verspätet ( Art. 48 Abs. 1 BGG ), weshalb im vereinfachten Verfahren nach Art. 108 Abs. 1 BGG nicht auf sie einzutreten ist.</w:t>
      </w:r>
    </w:p>
    <w:p>
      <w:r>
        <w:rPr>
          <w:b/>
        </w:rPr>
        <w:t>E. 3</w:t>
      </w:r>
    </w:p>
    <w:p>
      <w:r>
        <w:t>Bei diesem Verfahrensausgang wird der Beschwerdeführer grundsätzlich kostenpflichtig ( Art. 66 Abs. 1 BGG ). Angesichts der Aussichtslosigkeit des Verfahrens ist sein Gesuch um unentgeltliche Rechtspflege abzuweisen ( Art. 64 Abs. 1 BGG ). Seiner finanziellen Situation ist mit reduzierten Gerichtskosten Rechnung zu tragen ( Art. 65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