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7B_1190/2025 vom 14. Januar 2026</w:t>
      </w:r>
    </w:p>
    <w:p>
      <w:r>
        <w:t>Bundesgericht, 2026-01-14, FR</w:t>
      </w:r>
    </w:p>
    <w:p>
      <w:r>
        <w:rPr>
          <w:b/>
        </w:rPr>
        <w:t xml:space="preserve">Quelle: </w:t>
      </w:r>
      <w:r>
        <w:t>https://mcp.opencaselaw.ch/entscheid/bger_7B_1190_2025</w:t>
      </w:r>
    </w:p>
    <w:p>
      <w:r>
        <w:t>FR: TF 7B_1190/2025 du 14 janvier 2026</w:t>
      </w:r>
    </w:p>
    <w:p>
      <w:r>
        <w:t>IT: TF 7B_1190/2025 del 14 gennaio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de l'arrêt attaqué (cf. arrêt attaqué, consid. 2 p. 4 s.), le recourant n'articule aucune critique, conforme aux exigences en la matière, susceptible de démontrer que l'autorité précédente aurait violé le droit fédéral en n'entrant pas en matière sur son acte de recours. Il se borne en substance à indiquer sa volonté de recourir contre l'arrêt attaqué en affirmant laisser le soin à son "conseil" de le motiver. Or aucune écriture complémentaire n'est parvenue au Tribunal fédéral.</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présent arrêt sera exceptionnellement rendu sans frais ( art. 66 al. 1 2 e phrase LTF).</w:t>
      </w:r>
    </w:p>
    <w:p>
      <w:r>
        <w:t>Le recourant qui, d'après les informations transmises par l'Office d'exécution des peines du canton de Vaud, a été expulsé le 12 décembre 2025 en Algérie n'a pas élu de domicile de notification en Suisse. Aussi, en application de l' art. 39 al. 3 LTF , le Tribunal fédéral ne notifiera pas au recourant le présent arrêt et conservera l'exemplaire qui lui est destiné, lequel demeure à sa disposition (cf. arrêt 7B_403/2025 du 2 juin 2025 consid. 2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