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7B_1180/2025 vom 21. November 2025</w:t>
      </w:r>
    </w:p>
    <w:p>
      <w:r>
        <w:t>Bundesgericht, 2025-11-21, FR</w:t>
      </w:r>
    </w:p>
    <w:p>
      <w:r>
        <w:rPr>
          <w:b/>
        </w:rPr>
        <w:t xml:space="preserve">Quelle: </w:t>
      </w:r>
      <w:r>
        <w:t>https://mcp.opencaselaw.ch/entscheid/bger_7B_1180_2025</w:t>
      </w:r>
    </w:p>
    <w:p>
      <w:r>
        <w:t>FR: TF 7B_1180/2025 du 21 novembre 2025</w:t>
      </w:r>
    </w:p>
    <w:p>
      <w:r>
        <w:t>IT: TF 7B_1180/2025 del 21 novembre 2025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En outre, la décision entreprise, en tant que décision incidente, est propre à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et al. 1bis CPP). Préalablement à ces conditions, il doit exister des charges suffisantes, soit de sérieux soupçons de culpabilité, à l'égard de l'intéressé (art. 221 al. 1 et al. 1bis let. a CPP).</w:t>
      </w:r>
    </w:p>
    <w:p>
      <w:r>
        <w:rPr>
          <w:b/>
        </w:rPr>
        <w:t>E. 3.1</w:t>
      </w:r>
    </w:p>
    <w:p>
      <w:r>
        <w:t>Le recourant ne conteste plus l'existence de charges suffisantes. Il reproche en revanche à l'autorité précédente d'avoir retenu des risques de collusion et de réitération, qu'aucune mesure de substitution ne saurait pallier. Il soutient également que la détention provisoire dépasserait la peine privative de liberté prévisible et prétend que la cour cantonale n'aurait pas procédé à une analyse concrète de cette question.</w:t>
      </w:r>
    </w:p>
    <w:p>
      <w:r>
        <w:rPr>
          <w:b/>
        </w:rPr>
        <w:t>E. 3.2.1</w:t>
      </w:r>
    </w:p>
    <w:p>
      <w:r>
        <w:t>L' art. 221 al. 1 let . c CPP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du Tribunal fédéral, l'application de cette disposition (risque de récidive simple) présuppose, pour placer un prévenu en détention avant jugement, que celui-ci ait déjà été reconnu coupable d'au moins deux infractions du même genre ( ATF 151 IV 185 consid. 2.11; arrêt 7B_191/2025 du 28 mars 2025 consid. 4.2.1). La prévention du risque de récidive doit permettre de faire prévaloir l'intérêt de la sécurité publique sur la liberté personnelle du prévenu ( ATF 137 IV 13 consid. 3 et 4; arrêts 7B_191/2025 précité consid. 4.2.1; 7B_1089/2024 du 6 novembre 2024 consid. 3.2.2).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326 consid. 3.1 et les arrêts cités).</w:t>
      </w:r>
    </w:p>
    <w:p>
      <w:r>
        <w:rPr>
          <w:b/>
        </w:rPr>
        <w:t>E. 3.2.2</w:t>
      </w:r>
    </w:p>
    <w:p>
      <w:r>
        <w:t>L'objet d'une éventuelle expertise médico-légale sur la question du risque de récidive consiste à clarifier l'état psychique de l'intéressé et à poser un pronostic (arrêts 7B_789/2025 du 15 septembre 2025 consid. 4.2.3; 7B_631/2025 du 21 août 2025 consid. 4.2.3; 7B_428/2025 du 19 juin 2025 consid. 2.3 et les arrêts cités). L'appréciation finale du risque de récidive d'une personne incombe au juge pénal de fond, lequel doit pour ce faire examiner la pertinence du rapport d'expertise à la lumière de sa motivation et notamment de la méthode scientifique à laquelle l'expert a eu recours et des éléments qu'il a pris en considération ( ATF 149 IV 325 consid. 4.2). Outre un éventuel rapport d'expertise, le juge doit notamment tenir compte de la fréquence et de l'intensité des infractions poursuivies, d'une éventuelle tendance à l'aggravation et des caractéristiques personnelles du prévenu pour statuer sur l'existence d'un risque de récidive ( ATF 150 IV 360 consid. 3.2.4; arrêt 7B_789/2025 précité consid. 4.2.3).</w:t>
      </w:r>
    </w:p>
    <w:p>
      <w:r>
        <w:rPr>
          <w:b/>
        </w:rPr>
        <w:t>E. 3.2.3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et l'arrêt cité).</w:t>
      </w:r>
    </w:p>
    <w:p>
      <w:r>
        <w:rPr>
          <w:b/>
        </w:rPr>
        <w:t>E. 3.2.4</w:t>
      </w:r>
    </w:p>
    <w:p>
      <w:r>
        <w:t>Le principe de la proportionnalité postule également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 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7B_191/2025 du 28 mars 2025 consid. 5.2 et les arrêts cités). 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 7B_789/2025 du 15 septembre 2025 consid. 4.2.4).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 7B_191/2025 du 28 mars 2025 consid. 5.2).</w:t>
      </w:r>
    </w:p>
    <w:p>
      <w:r>
        <w:rPr>
          <w:b/>
        </w:rPr>
        <w:t>E. 3.2.5</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3.3.1</w:t>
      </w:r>
    </w:p>
    <w:p>
      <w:r>
        <w:t>La Chambre pénale de recours a considéré que le recourant avait déjà été condamné notamment à deux occasions pour infractions à l' art. 33 LArm et à trois reprises pour lésions corporelles simples. En sus des infractions reprochées constatées le 28 février 2025, le recourant était également soupçonné, dans la présente procédure, de la commission de plusieurs agressions et lésions corporelles simples, ainsi que de menaces de mort; il avait en outre tenu des propos peu rassurants en audience. De surcroît, le rapport d'expertise évaluait comme "moyen" le risque de récidive d'actes de violence générale, de détention d'armes illégales et de trafic de stupéfiants. Ces éléments, auxquels se greffait un désoeuvrement apparent - le recourant étant sans emploi -, laissaient craindre une dangerosité et un potentiel de violence concrets propres à fonder à tout le moins un risque de récidive simple.</w:t>
      </w:r>
    </w:p>
    <w:p>
      <w:r>
        <w:rPr>
          <w:b/>
        </w:rPr>
        <w:t>E. 3.3.2</w:t>
      </w:r>
    </w:p>
    <w:p>
      <w:r>
        <w:t>En l'espèce, il est précisé d'emblée que, contrairement à ce que laisse entendre le recourant, il ne résulte pas de l'arrêt querellé que la cour cantonale aurait admis la réalisation d'un risque de réitération qualifié au sens de l' art. 221 al. 1bis CPP . Il résulte en effet de la motivation de l'arrêt querellé que c'est un risque de récidive simple au sens de l' art. 221 al. 1 let . c CPP qui a été retenu. Le recourant n'apporte aucun élément susceptible de remettre en cause l'appréciation de l'autorité cantonale, laquelle doit être confirmée. En effet, il figure au casier judiciaire pour deux condamnations antérieures (en 2013) en relation avec une infraction à l' art. 33 LArm , à savoir le même type d'infraction faisant l'objet de la présente procédure. Il ne peut pas être suivi en tant qu'il minimise le risque lié à un telle infraction. L' art. 33 LArm proscrit différents comportements en lien avec l'utilisation d'armes au sens large qui, en raison de leur potentiel de dangerosité, sont soumises à des interdictions ou à des restrictions; les comportements visés doivent ainsi être appréhendés comme des infractions de mise en danger abstraite, pour lesquelles il est admis que l'acte en lui-même est tenu pour dangereux et doit être puni comme tel, sans exiger que le danger se soit effectivement manifesté (arrêt 6B_533/2025 du 29 septembre 2025 consid. 3.2 et les références citées). Il résulte de l'arrêt cantonal que lors de son interpellation, le recourant se trouvait dans la rue et portait sur lui, sans droit, un poing américain ainsi qu'une arme à feu de type pistolet (marque Browning de calibre 6,35), laquelle était de surcroît chargée; un pistolet à air comprimé, un silencieux, un dispositif de visée et des munitions ont de plus été retrouvés au domicile du recourant. À cet égard, c'est de manière purement appellatoire et, partant, irrecevable (cf. art. 106 al. 2 LTF ) que le recourant expose que ces armes seraient destinées à sa seule protection; un tel argument n'est par ailleurs pas susceptible d'influer positivement sur le caractère dangereux du comportement en cause. Les condamnations antérieures du recourant à la LArm, certes relativement anciennes, ainsi que les faits à l'origine de son interpellation dénotent une tendance à l'aggravation du comportement délictueux; à cela s'ajoute que le recourant a admis consommer du cannabis; le fait que le recourant se sente légitimé à se promener muni d'armes prêtes à servir - à savoir notamment, lors de son interpellation, d'un pistolet avec une balle engagée dans la chambre - pour se défendre apparaît particulièrement inquiétant, ce qui résulte également de ses propos alarmants à l'audience du 1 er mars 2025. Dans ce contexte extrêmement préoccupant, on ne peut pas ignorer les précédentes condamnations du recourant pour lésions corporelles simples (en 2014, 2016 et 2018). En outre, contrairement à ce qu'il soutient, l'autorité précédente n'a pas pris en compte les autres actes objets de la présente procédure à titre d'antécédents faute de condamnation du recourant. Elle était en revanche fondée à s'y référer dans l'évaluation globale du risque de récidive, s'agissant d'infractions de lésions corporelles simples et agressions (en 2018), ainsi que de menaces de mort consistant dans le geste de tirer une balle dans la tête de l'interlocuteur (en 2023 et 2024); cela est d'autant plus le cas que les parties ont été informées par avis de prochaine clôture des 13 août et 18 décembre 2024 qu'un acte d'accusation serait dressé prochainement. En effet, le recourant n'a certes pas été à ce stade condamné pour ces agissements et bénéficie de la présomption d'innocence; ceux-ci attestent cependant d'une escalade dans la dangerosité, le recourant n'ayant pas mis un frein à ses agissements délictueux à la suite de ses précédentes condamnations, bien au contraire. À ces éléments viennent s'ajouter les conclusions du rapport d'expertise du 24 juillet 2025 rapportées dans l'arrêt querellé et dont il résulte que le recourant souffre d'un trouble modéré de la personnalité et d'un trouble délirant pouvant être assimilé à un grave trouble mental et qu'il présente un risque de récidive moyen s'agissant de violence générale, de détention d'armes illégales et de trafic de stupéfiants. Sur ce point, les critiques du recourant s'épuisent dans une relecture personnelle de l'expertise, le recourant n'articulant aucune critique, conforme aux exigences de motivation, propre à démontrer que l'autorité cantonale aurait opéré une appréciation arbitraire de l'expertise. Au demeurant, au stade de l'examen de la détention provisoire, la Chambre pénale de recours pouvait se fonder sur les conclusions de l'expertise sans se livrer à un examen plus approfondi. Au vu de ces nombreux éléments, la Chambre pénale de recours n'a pas violé le droit fédéral en considérant que le risque de réitération prévu à l' art. 221 al. 1 let . c CPP était réalisé. Ce risque étant donné, il n'est pas nécessaire, dans la présente procédure de recours, d'examiner également si d'autres motifs alternatifs de détention pourraient être remplis, comme le risque de collusion retenu par l'autorité précédente ( art. 221 al. 1 let . c CPP; cf. arrêt 7B_1162/2024 du 25 novembre 2024 consid. 3.2); les griefs du recourant sur ce point deviennent dès lors sans objet.</w:t>
      </w:r>
    </w:p>
    <w:p>
      <w:r>
        <w:rPr>
          <w:b/>
        </w:rPr>
        <w:t>E. 3.4.1</w:t>
      </w:r>
    </w:p>
    <w:p>
      <w:r>
        <w:t>L'autorité précédente a ensuite considéré qu'aucune mesure de substitution ne permettrait d'atteindre les mêmes buts que la détention. Le suivi ambulatoire préconisé par les experts - lesquels n'avaient cependant pas encore été entendus - auquel le recourant s'engageait à se soumettre n'était pas suffisant à ce stade pour prévenir le risque de récidive. En effet, il ressortait du rapport d'expertise que le recourant était opposé à toute médication - laquelle était recommandée par les experts - et que son introspection était limitée. Les propos tenus par le recourant en audience permettaient de sérieusement douter de sa volonté de se soumettre à un tel traitement, notamment à la médication. Ses réticences à la médication restaient entières dès lors qu'il déclarait accepter un tel traitement "à l'essai". Les mêmes doutes étaient de mise s'agissant de l'engagement du recourant à chercher un emploi auprès de la voirie de sa commune, dès lors que sa dernière activité remontait à 2013 et qu'il y avait renoncé pour s'inscrire à l'Hospice général. Rien n'indiquait qu'il en irait autrement aujourd'hui.</w:t>
      </w:r>
    </w:p>
    <w:p>
      <w:r>
        <w:rPr>
          <w:b/>
        </w:rPr>
        <w:t>E. 3.4.2</w:t>
      </w:r>
    </w:p>
    <w:p>
      <w:r>
        <w:t>Ce raisonnement ne prête pas le flanc à la critique et le recourant ne développe aucune argumentation à même de le remettre en cause. Il se limite en effet en substance à réitérer les arguments déjà développés devant la cour cantonale et auxquels celle-ci a répondu de manière convaincante (cf. arrêt querellé consid. 4.3). Tel est notamment le cas lorsqu'il soutient à nouveau qu'il accepterait la médication proposée, que les démarches qu'il proposait d'effectuer en vue de trouver un emploi démontreraient sa prise de conscience du besoin de "remettre de l'ordre dans sa vie" et de mettre un terme à son désoeuvrement, ainsi que le fait qu'une assignation à résidence à laquelle il accepterait de se plier serait propre à réduire à néant tout risque de réitération. Ce faisant, le recourant se contente en outre de substituer son appréciation des preuves à celle de l'autorité cantonale de façon essentiellement appellatoire et donc irrecevable (cf. art. 106 al. 2 LTF ). En tout état, vu les éléments mis en exergue par la Chambre pénale de recours, on ne voit pas qu'un traitement ambulatoire serait propre à pallier le risque de récidive dans les circonstances actuelles, d'autant moins que, selon les experts, seul un traitement de l'ordre d'une année a minima serait susceptible de réduire le risque de récidive. Dans ces circonstances, les mesures de substitution consistant en une assignation à résidence et en l'astreinte à la recherche d'un emploi - pour autant que le recourant s'y conforme effectivement - n'entrent pas non plus en considération. Au surplus, le traitement préconisé est, à dire d'experts, compatible avec une détention. En définitive, la Chambre pénale de recours n'a pas violé le droit fédéral en estimant qu'à ce stade, aucune mesure de substitution n'était apte à parer le risque de réitération.</w:t>
      </w:r>
    </w:p>
    <w:p>
      <w:r>
        <w:rPr>
          <w:b/>
        </w:rPr>
        <w:t>E. 3.5.1</w:t>
      </w:r>
    </w:p>
    <w:p>
      <w:r>
        <w:t>La Chambre pénale de recours a relevé qu'au vu des infractions dont le recourant était prévenu, la prolongation de la détention provisoire ne violait pas le principe de la proportionnalité. Elle a rappelé que la seule peine menace maximale de l' art. 33 LArm était une peine privative de liberté de trois ans au plus.</w:t>
      </w:r>
    </w:p>
    <w:p>
      <w:r>
        <w:rPr>
          <w:b/>
        </w:rPr>
        <w:t>E. 3.5.2</w:t>
      </w:r>
    </w:p>
    <w:p>
      <w:r>
        <w:t>En l'espèce, contrairement à ce que prétend le recourant, la cour cantonale s'est livrée à une analyse concrète de la durée probable de la peine privative de liberté encourue. En effet, malgré son caractère succinct, ce raisonnement permet de comprendre que l'autorité précédente a pris en compte l'ensemble des infractions objets de la présente procédure, tout en soulignant la peine menace maximale d'une des infractions en cause. Pour le surplus, le recourant se contente d'opposer son appréciation à celle de la cour cantonale, dans une démarche purement appellatoire et, partant, irrecevable (cf. consid. 3.2.5 supra ); il en va notamment ainsi lorsqu'il avance que l'arme saisie sur lui aurait été destinée à sa protection, respectivement que le cannabis retrouvé à son domicile aurait été destiné à sa seule consommation personnelle. Dans son analyse, la cour cantonale était fondée à prendre en compte les autres infractions dont le recourant est prévenu dans la présente procédure, à savoir les infractions d'agression à réitérées reprises ( art. 134 CP ), de lésions corporelles simples ( art. 123 CP ), d'injure ( art. 177 CP ), de menaces à deux occasions à tout le moins ( art. 180 CP ), ainsi que d'infractions à l'art. 19 al. 1 let. a, c et d LStup. En effet, il résulte certes de l'arrêt attaqué que la détention provisoire a été prononcée à la suite d'infractions à l' art. 33 LArm ; il n'en demeure pas moins que le principe de la proportionnalité doit être examiné au regard de la peine prévisible pour la procédure en cours, à savoir pour la totalité des infractions en jeu. Ainsi, il apparaît que la durée de la détention provisoire de près de neuf mois - du 2 mars au 30 novembre 2025 - ne viole pas le principe de la proportionnalité au regard de la durée de la peine privative de liberté à laquelle il faut s'attendre concrètement, compte tenu des nombreuses infractions dont il est question ci-dessus et des règles sur le concours ( art. 49 CP ) ainsi que des antécédents du recourant. Le fait que des peines pécuniaires aient été prononcées en 2013 contre le recourant pour les infractions à l' art. 33 LArm est à cet égard sans pertinence. Pour ces motifs, la Chambre pénale de recours n'a pas violé le principe de la proportionnalité.</w:t>
      </w:r>
    </w:p>
    <w:p>
      <w:r>
        <w:rPr>
          <w:b/>
        </w:rPr>
        <w:t>E. 4</w:t>
      </w:r>
    </w:p>
    <w:p>
      <w:r>
        <w:t>Il s'ensuit que le recours doit être rejeté. Le recourant a demandé l'octroi de l'assistance judiciaire ( art. 64 al. 1 LTF ). Les conditions y relatives étant réunies, il y a lieu d'admettre cette requête, de désigner Me Ilir Cenko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