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7B_1177/2024 vom 17. Februar 2025</w:t>
      </w:r>
    </w:p>
    <w:p>
      <w:r>
        <w:t>Bundesgericht, 2025-02-17, FR</w:t>
      </w:r>
    </w:p>
    <w:p>
      <w:r>
        <w:rPr>
          <w:b/>
        </w:rPr>
        <w:t xml:space="preserve">Quelle: </w:t>
      </w:r>
      <w:r>
        <w:t>https://mcp.opencaselaw.ch/entscheid/bger_7B_1177_2024</w:t>
      </w:r>
    </w:p>
    <w:p>
      <w:r>
        <w:t>FR: TF 7B_1177/2024 du 17 février 2025</w:t>
      </w:r>
    </w:p>
    <w:p>
      <w:r>
        <w:t>IT: TF 7B_1177/2024 del 17 febbraio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w:t>
      </w:r>
    </w:p>
    <w:p>
      <w:r>
        <w:rPr>
          <w:b/>
        </w:rPr>
        <w:t>E. 1.2</w:t>
      </w:r>
    </w:p>
    <w:p>
      <w:r>
        <w:t>En l'espèce, l'autorité précédente a déclaré le recours cantonal irrecevable, faute de répondre aux exigences de motivation découlant de l' art. 385 al. 1 CPP . Elle a considéré que le recourant ne discutait nullement les motifs retenus dans l'ordonnance de non-entrée en matière, ni n'expliquait de manière sensée et crédible en quoi le Ministère public aurait méconnu le droit, respectivement dans quelle mesure sa décision serait erronée. Son argumentation se limitait pour l'essentiel à exposer sa version des faits. Au surplus, il ne prenait aucune conclusion, se bornant à indiquer faire recours. Le Tribunal cantonal a également relevé que le recours apparaissait procédurier et abusif en tant que le recourant qualifiait les "autorités fribourgeoises et suisses" de partiales et leurs activités d'illicites, et ce dans une argumentation dépourvue de tout fondement raisonnable.</w:t>
      </w:r>
    </w:p>
    <w:p>
      <w:r>
        <w:rPr>
          <w:b/>
        </w:rPr>
        <w:t>E. 1.3.1</w:t>
      </w:r>
    </w:p>
    <w:p>
      <w:r>
        <w:t>Le recourant, qui se borne pour l'essentiel à invoquer des motifs de fond, échoue à démontrer, par une motivation conforme aux exigences en la matière, que l'autorité précédente aurait violé le droit fédéral (soit en particulier l' art. 385 CPP ) ou ses droits fondamentaux en n'entrant pas en matière sur son recours. Il se borne en outre à contester le caractère procédurier et abusif de son recours cantonal, sans toutefois démontrer à satisfaction de droit que le Tribunal cantonal aurait erré dans son appréciation à cet égard.</w:t>
      </w:r>
    </w:p>
    <w:p>
      <w:r>
        <w:rPr>
          <w:b/>
        </w:rPr>
        <w:t>E. 1.3.2</w:t>
      </w:r>
    </w:p>
    <w:p>
      <w:r>
        <w:t>Pour le reste, le recourant discute librement des faits dans une démarche manifestement appellatoire et, partant, irrecevable dans un recours en matière pénale.</w:t>
      </w:r>
    </w:p>
    <w:p>
      <w:r>
        <w:rPr>
          <w:b/>
        </w:rPr>
        <w:t>E. 1.3.3</w:t>
      </w:r>
    </w:p>
    <w:p>
      <w:r>
        <w:t>Enfin, en tant que le recourant conteste la mise à sa charge des frais d'arrêt cantonal, force est de constater qu'il n'expose pas en quoi l'autorité précédente aurait violé le droit fédéral (cf. art. 428 al. 1 CPP ). Le recours ne remplit dès lors pas non plus, sur ce point, les exigences de recevabilité d'un recours au Tribunal fédéral.</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prévue par l' art. 108 LTF (art. 64 al. 3, 2e phr., LTF; arrêt 7B_935/2024 du 18 octobre 2024 consid. 4). Le recourant, qui succombe, supportera les frais judiciaires ( art. 66 al. 1 LTF ). Ceux-ci seront toutefois fixés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