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7B_1175/2024 vom 6. März 2025</w:t>
      </w:r>
    </w:p>
    <w:p>
      <w:r>
        <w:t>Bundesgericht, 2025-03-06, FR</w:t>
      </w:r>
    </w:p>
    <w:p>
      <w:r>
        <w:rPr>
          <w:b/>
        </w:rPr>
        <w:t xml:space="preserve">Quelle: </w:t>
      </w:r>
      <w:r>
        <w:t>https://mcp.opencaselaw.ch/entscheid/bger_7B_1175_2024</w:t>
      </w:r>
    </w:p>
    <w:p>
      <w:r>
        <w:t>FR: TF 7B_1175/2024 du 6 mars 2025</w:t>
      </w:r>
    </w:p>
    <w:p>
      <w:r>
        <w:t>IT: TF 7B_1175/2024 del 6 marzo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Selon l' art. 42 al. 1 LTF , les mémoires de recours au Tribunal fédéral doivent indiquer les conclusions, les motifs et les moyens de preuves,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7B_1107/2024 du 8 janvier 2025 consid. 3.1).</w:t>
      </w:r>
    </w:p>
    <w:p>
      <w:r>
        <w:t>Un mémoire de recours ne satisfait pas aux exigences minimales fixées à l' art. 42 al. 2 LTF lorsque sa motivation reprend mot pour mot l'argumentation déjà développée devant la juridiction inférieure et que, partant, la partie recourante ne discute pas les motifs de la décision entreprise et n'indique pas, même succinctement, en quoi ceux-ci méconnaissent le droit selon elle. La partie recourante ne saurait se contenter de renvoyer aux actes cantonaux ou de reproduire la motivation déjà présentée dans la procédure cantonale ( ATF 145 V 161 consid. 5.2; 134 II 244 consid. 2.1 et 2.3).</w:t>
      </w:r>
    </w:p>
    <w:p>
      <w:r>
        <w:rPr>
          <w:b/>
        </w:rPr>
        <w:t>E. 1.2</w:t>
      </w:r>
    </w:p>
    <w:p>
      <w:r>
        <w:t>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1.3</w:t>
      </w:r>
    </w:p>
    <w:p>
      <w:r>
        <w:t>Dans son écriture, le recourant se contente de reproduire mot pour mot, dans sa quasi-intégralité, le mémoire de recours qu'il avait rédigé devant l'autorité précédente. Il se limite à alléguer sous le titre "Moyens" que "contrairement à ce que prétend le tribunal cantonal valaisan, j'ai largement satisfait aux exigences de motivation au vu de ce qui précède, tant et si bien que mon recours cantonal devait nécessairement être recevable" et que son droit d'être entendu aurait été "violé par un formalisme excessif ( art. 355 al. 2 CPP ) constitutif d'un déni de justice ( art. 29 al. 1 Cst. ) ". Cette seule affirmation ne saurait à l'évidence répondre aux exigences de motivation découlant des art. 42 al. 2 et 106 al. 2 LTF.</w:t>
      </w:r>
    </w:p>
    <w:p>
      <w:r>
        <w:rPr>
          <w:b/>
        </w:rPr>
        <w:t>E. 1.4</w:t>
      </w:r>
    </w:p>
    <w:p>
      <w:r>
        <w:t>Ne répondant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prévue par l' art. 108 LTF ( art. 64 al. 3 2</w:t>
      </w:r>
    </w:p>
    <w:p>
      <w:r>
        <w:t>e phrase LTF; arrêt 7B_1058/2024 du 31 janvier 2025 consid. 2).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