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7B_1171/2025 vom 15. Dezember 2025</w:t>
      </w:r>
    </w:p>
    <w:p>
      <w:r>
        <w:t>Bundesgericht, 2025-12-15, DE</w:t>
      </w:r>
    </w:p>
    <w:p>
      <w:r>
        <w:rPr>
          <w:b/>
        </w:rPr>
        <w:t xml:space="preserve">Quelle: </w:t>
      </w:r>
      <w:r>
        <w:t>https://mcp.opencaselaw.ch/entscheid/bger_7B_1171_2025</w:t>
      </w:r>
    </w:p>
    <w:p>
      <w:r>
        <w:t>FR: TF 7B_1171/2025 du 15 décembre 2025</w:t>
      </w:r>
    </w:p>
    <w:p>
      <w:r>
        <w:t>IT: TF 7B_1171/2025 del 15 dicembre 2025</w:t>
      </w:r>
    </w:p>
    <w:p>
      <w:pPr>
        <w:pStyle w:val="Heading2"/>
      </w:pPr>
      <w:r>
        <w:t>Erwägungen</w:t>
      </w:r>
    </w:p>
    <w:p>
      <w:r>
        <w:rPr>
          <w:b/>
        </w:rPr>
        <w:t>E. 1</w:t>
      </w:r>
    </w:p>
    <w:p>
      <w:r>
        <w:t>Mit separaten Beschlüssen vom 24. September 2025 wies das Obergericht des Kantons Zürich die Beschwerden der Beschwerdeführer gegen die jeweiligen Einstellungsverfügungen der Staatsanwaltschaft See/Oberland vom 26. März 2024 ab. Gegen diese Beschlüsse wandten sich die Beschwerdeführer am 30. Oktober 2025 bzw. am 31. Oktober 2025 mit je einer Beschwerde in Strafsachen an das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weshalb die Verfahren 7B_1171/2025, 7B_1172/2025, 7B_1174/2025, 7B_1175/2025, 7B_1176/2025, 7B_1177/2025 und 7B_1178/2025 zu vereinigen und die Beschwerden in einem einzigen Entscheid zu behandeln sind.</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Begründung muss in der Beschwerde selbst enthalten sein; der blosse Verweis auf Ausführungen in anderen Rechtsschriften oder auf die Akten reicht nicht aus ( BGE 144 V 173 E. 3.2.2; 143 IV 122 E. 3.3; 140 III 115 E. 2; je mit Hinweisen).</w:t>
      </w:r>
    </w:p>
    <w:p>
      <w:r>
        <w:rPr>
          <w:b/>
        </w:rPr>
        <w:t>E. 4</w:t>
      </w:r>
    </w:p>
    <w:p>
      <w:r>
        <w:t>Gemäss Art. 81 Abs. 1 BGG ist zur Erhebung einer Beschwerde in Strafsachen berechtigt, wer vor der Vorinstanz am Verfahren teilgenommen oder keine Möglichkeit zur Teilnahme erhalten hat (lit. a) und (kumulativ)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Zivilforderungen im Sinne dieser Bestimmung sind unmittelbar aus der Straftat resultierende und vor den Zivilgerichten geltend zu machende Ansprüche, in erster Linie solche auf Schadenersatz und Genugtuung nach Art. 41 ff. OR ( BGE 146 IV 76 E. 3.1; 141 IV 1 E. 1.1; Urteil 6B_562/2021 vom 7. April 2022 E. 1.1, nicht publ. in: BGE 148 IV 170 ). Zivilansprüche, die auf einem Vertrag beruhen, können nicht Gegenstand einer adhäsionsweise erhobenen Zivilklage im Strafverfahren sein ( BGE 148 IV 432 E. 3.1.2-3.3).</w:t>
      </w:r>
    </w:p>
    <w:p>
      <w:r>
        <w:t>Richtet sich die Beschwerde - wie vorliegend - gegen die Nichtanhandnahme oder Einstellung eines Verfahrens, muss die geschädigte Person im Verfahren vor Bundesgericht darlegen, aus welchen Gründen und inwiefern sich der angefochtene Entscheid auf welchen konkreten Zivilanspruch auswirken kann.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darlegen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namentlich dann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 siehe auch Urteile 7B_588/2023 vom 10. Dezember 2024 E. 1.3.1; 7B_566/2023 vom 14. Mai 2024 E. 1.2.1; je mit Hinweisen).</w:t>
      </w:r>
    </w:p>
    <w:p>
      <w:r>
        <w:rPr>
          <w:b/>
        </w:rPr>
        <w:t>E. 5</w:t>
      </w:r>
    </w:p>
    <w:p>
      <w:r>
        <w:t>Die Beschwerdeführer machen im Wesentlichen geltend, sie hätten an die H.________ AG unrechtmässige Gebühren bezahlt, die sie nun von dieser bzw. deren verantwortlichen Organe zurückfordern könnten. Bei diesen Ansprüchen handle es sich um Zivilansprüche im Sinne von Art. 81 Abs. 1 lit. b Ziff. 5 BGG.</w:t>
      </w:r>
    </w:p>
    <w:p>
      <w:r>
        <w:t>Der Beschwerdeführer 1 stellt dies in Zusammenhang mit einer "creance cedée" der I.________ SA (wobei ihm unklar sei, ob die Forderung an die H.________ AG zediert wurde oder ob diese als Bevollmächtigte gehandelt hat) sowie einer "creance" von J.________. Sein angeblicher Zivilanspruch belaufe sich auf Fr. 104.60. Der Beschwerdeführer 2 beziffert seinen mutmasslichen Zivilanspruch mit mindestens Fr. 345.00, der Beschwerdeführer 3 mit mindestens Fr. 660.00, die Beschwerdeführerin 4 mit mindestens Fr. 760.00 (unter anderem verweist sie auf Art. 106 OR ), die Beschwerdeführerin 5 mit mindestens Fr. 470.00, der Beschwerdeführer 6 mit mindestens Fr. 375.00 und der Beschwerdeführer 7 mit rund Fr. 600.00.</w:t>
      </w:r>
    </w:p>
    <w:p>
      <w:r>
        <w:t>Die von den Beschwerdeführern geltend gemachten Ansprüche gegenüber der H.________ AG bzw. deren verantwortliche Organe sind prima facie vertraglicher Natur. Beim Beschwerdeführer 1 knüpfen sie an Forderungen der I.________ SA und von J.________ an, welche regelmässig auf einem Vertragsverhältnis beruhen, die auf die H.________ AG übergingen (vgl. erneut den Hinweis des Beschwerdeführers 1 auf das von ihm vermutete Zessions- oder Stellvertretungsverhältnis zwischen den Gläubigerinnen und der H.________ AG). Entsprechendes gilt für die übrigen Beschwerdeführer, auch wenn in der Mehrzahl der Fälle offenbleibt, welche Forderungen welcher Gläubiger die H.________ AG gegenüber den einzelnen Beschwerdeführern geltend gemacht hat. Zivilansprüche, die eine Beschwerdelegitimation nach Art. 81 Abs. 1 lit. b Ziff. 5 BGG zu begründen vermögen, sind jedoch nur solche, die Gegenstand einer adhäsionsweise erhobenen Zivilklage im Strafverfahren sein können, was auf vertragliche Ansprüche nicht zutrifft (vgl. BGE 148 IV 432 E. 3.1.2-3.3; zur Pflicht des Rechtsanwalts, die amtlich publizierten Urteile des Bundesgerichts zu kennen: BGE 134 III 534 E. 3.2.3.3; jüngst bestätigt etwa in: Urteile 6B_1381/2023 vom 11. November 2024 E. 2.3; 4A_266/2023 vom 11. Oktober 2023 E. 2.6; 5D_196/2021 vom 28. Februar 2022 E. 3).</w:t>
      </w:r>
    </w:p>
    <w:p>
      <w:r>
        <w:t>Die Beschwerdeführer wären daher gehalten gewesen, hinreichend substanziiert darzulegen, weshalb es sich bei ihren mutmasslichen Rückforderungsansprüchen um Zivilansprüche im Sinne von Art. 81 Abs. 1 lit. b Ziff. 5 BGG handeln soll und nicht um bloss vertragliche Ansprüche, aus welchen sich keine Sachlegitimation ergibt.</w:t>
      </w:r>
    </w:p>
    <w:p>
      <w:r>
        <w:t>Insgesamt kommen die Beschwerdeführer den Begründungsanforderungen an ihre Zivilansprüche im Sinne von Art. 81 Abs. 1 lit. b Ziff. 5 BGG nicht nach.</w:t>
      </w:r>
    </w:p>
    <w:p>
      <w:r>
        <w:rPr>
          <w:b/>
        </w:rPr>
        <w:t>E. 6</w:t>
      </w:r>
    </w:p>
    <w:p>
      <w:r>
        <w:t>Die Beschwerdeführer rügen ferner keine Verletzung von Verfahrensrechten, deren Missachtung einer formellen Rechtsverweigerung gleichkommen würde ("Star-Praxis"; BGE 146 IV 76 E. 2; 141 IV 1 E. 1.1), weshalb auch unter diesem Titel nicht auf die Beschwerden einzutreten ist.</w:t>
      </w:r>
    </w:p>
    <w:p>
      <w:r>
        <w:rPr>
          <w:b/>
        </w:rPr>
        <w:t>E. 7</w:t>
      </w:r>
    </w:p>
    <w:p>
      <w:r>
        <w:t>Auf die Beschwerden ist im Verfahren nach Art. 108 BGG nicht einzutreten. Die Gerichtskosten sind den Beschwerdeführern 1-7 unter solidarischer Haftbarkeit und intern zu gleichen Teilen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