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7B_116/2026 vom 24. März 2026</w:t>
      </w:r>
    </w:p>
    <w:p>
      <w:r>
        <w:t>Bundesgericht, 2026-03-24, DE</w:t>
      </w:r>
    </w:p>
    <w:p>
      <w:r>
        <w:rPr>
          <w:b/>
        </w:rPr>
        <w:t xml:space="preserve">Quelle: </w:t>
      </w:r>
      <w:r>
        <w:t>https://mcp.opencaselaw.ch/entscheid/bger_7B_116_2026</w:t>
      </w:r>
    </w:p>
    <w:p>
      <w:r>
        <w:t>FR: TF 7B_116/2026 du 24 mars 2026</w:t>
      </w:r>
    </w:p>
    <w:p>
      <w:r>
        <w:t>IT: TF 7B_116/2026 del 24 marzo 2026</w:t>
      </w:r>
    </w:p>
    <w:p>
      <w:pPr>
        <w:pStyle w:val="Heading2"/>
      </w:pPr>
      <w:r>
        <w:t>Erwägungen</w:t>
      </w:r>
    </w:p>
    <w:p>
      <w:r>
        <w:rPr>
          <w:b/>
        </w:rPr>
        <w:t>E. 1</w:t>
      </w:r>
    </w:p>
    <w:p>
      <w:r>
        <w:t>Auf die von A.________ (nachfolgend: der Beschwerdeführer) gegen die Nichtanhandnahmeverfügung der Staatsanwaltschaft des Kantons St. Gallen, Untersuchungsamt Gossau, vom 23. September 2025 erhobene Beschwerde trat die Anklagekammer des Kantons St. Gallen mit Beschluss vom 30. Oktober 2025 nicht ein. Der Beschwerdeführer gelangt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Vorinstanz hat den Beschwerdeführer in Anwendung von Art. 383 StPO mit Verfügung vom 9. Oktober 2025 aufgefordert, innert Frist eine Sicherheit von Fr. 1'500.-- zu leisten, unter der Androhung, dass ansonsten auf die Beschwerde nicht eingetreten werde. Weil die Sicherheit innert Frist nicht bezahlt worden ist, tritt die Vorinstanz auf die kantonale Beschwerde nicht ein.</w:t>
      </w:r>
    </w:p>
    <w:p>
      <w:r>
        <w:t>Was am angefochtenen Beschluss in tatsächlicher oder rechtlicher Hinsicht fehlerhaft sein sollte, ergibt sich aus der Beschwerde nicht. Der Beschwerdeführer macht im Wesentlichen geltend, ihm sei es objektiv nicht möglich gewesen, die verlangte Prozesskaution von Fr. 1'500.-- zu leisten. Indes macht er weder geltend, im kantonalen Verfahren - rechtzeitig - um unentgeltliche Rechtspflege ersucht zu haben (vgl. Art. 383 Abs. 1 Satz 2 i.V.m. Art. 136 StPO ), noch inwiefern die Voraussetzungen gemäss Art. 136 StPO überhaupt erfüllt wären. Damit kommt er den Begründungsanforderungen vor Bundesgericht nicht nach. Der Begründungsmangel ist offensichtlich ( Art. 42 Abs. 2, Art. 106 Abs. 2 BGG ).</w:t>
      </w:r>
    </w:p>
    <w:p>
      <w:r>
        <w:rPr>
          <w:b/>
        </w:rPr>
        <w:t>E. 4</w:t>
      </w:r>
    </w:p>
    <w:p>
      <w:r>
        <w:t>Auf die Beschwerde ist im vereinfachten Verfahren nach Art. 108 BGG nicht einzutreten. Ausgangsgemäss trägt der Beschwerdeführer die Kosten des bundesgerichtlichen Verfahrens ( Art. 66 Abs. 1 BGG ). Sein implizites Gesuch um Gewährung der unentgeltlichen Rechtspflege ist abzuweisen, da die Beschwerde von vornherein aussichtslos war. Ihm sind reduzierte Gerichtskosten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