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7B_1165/2025 vom 15. Dezember 2025</w:t>
      </w:r>
    </w:p>
    <w:p>
      <w:r>
        <w:t>Bundesgericht, 2025-12-15, DE</w:t>
      </w:r>
    </w:p>
    <w:p>
      <w:r>
        <w:rPr>
          <w:b/>
        </w:rPr>
        <w:t xml:space="preserve">Quelle: </w:t>
      </w:r>
      <w:r>
        <w:t>https://mcp.opencaselaw.ch/entscheid/bger_7B_1165_2025</w:t>
      </w:r>
    </w:p>
    <w:p>
      <w:r>
        <w:t>FR: TF 7B_1165/2025 du 15 décembre 2025</w:t>
      </w:r>
    </w:p>
    <w:p>
      <w:r>
        <w:t>IT: TF 7B_1165/2025 del 15 dicembre 2025</w:t>
      </w:r>
    </w:p>
    <w:p>
      <w:pPr>
        <w:pStyle w:val="Heading2"/>
      </w:pPr>
      <w:r>
        <w:t>Erwägungen</w:t>
      </w:r>
    </w:p>
    <w:p>
      <w:r>
        <w:rPr>
          <w:b/>
        </w:rPr>
        <w:t>E. 1</w:t>
      </w:r>
    </w:p>
    <w:p>
      <w:r>
        <w:t>Mit Verfügung vom 22. September 2025 trat das Obergericht des Kantons Zürich mangels fristgerechter Leistung der Sicherheit gemäss Art. 383 StPO nicht auf die Beschwerde der Beschwerdeführerin gegen die Nichtanhandnahmeverfügung des Statthalteramts Bezirk Bülach vom 4. Juni 2025 ein. Die Beschwerdeführerin gelangte dagegen mit Eingabe vom 25. Oktober 2025 an das Bundesgericht.</w:t>
      </w:r>
    </w:p>
    <w:p>
      <w:r>
        <w:rPr>
          <w:b/>
        </w:rPr>
        <w:t>E. 2</w:t>
      </w:r>
    </w:p>
    <w:p>
      <w:r>
        <w:t>Diese Eingabe erfüllt offensichtlich nicht die Anforderungen an die Begründung einer Beschwerde an das Bundesgericht ( Art. 42 Abs. 2 und Art. 106 Abs. 2 BGG ; BGE 148 IV 356 E. 2.1, 39 E. 2.3.5; 142 III 364 E. 2.4). Die Beschwerdeführerin legt nicht ansatzweise dar, inwiefern die Vorinstanz mit ihrer Verfügung vom 22. September 2025 Recht im Sinne von Art. 95 BGG verletzt haben soll; insbesondere wird nicht angeführt, dass sie ein Gesuch um unentgeltliche Rechtspflege gestellt habe, das zu unrecht unberücksichtigt geblieben sei. Formelle Rügen, zu deren Geltendmachung sie unbesehen der fehlenden Legitimation in der Sache berechtigt wäre, da sie insbesondere von der Prüfung der Sache getrennt werden können (sog. "Star-Praxis";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der Beschwerdeführerin aufzuerlegen ( Art. 66 Abs. 1 BGG ). Das Gesuch um unentgeltliche Rechtspflege ist wegen offensichtlicher Aussichtslosigkeit der Begehren abzuweisen ( Art. 64 Abs. 1 BGG ). Den finanziellen Verhältnissen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