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7B_115/2026 vom 19. März 2026</w:t>
      </w:r>
    </w:p>
    <w:p>
      <w:r>
        <w:t>Bundesgericht, 2026-03-19, DE</w:t>
      </w:r>
    </w:p>
    <w:p>
      <w:r>
        <w:rPr>
          <w:b/>
        </w:rPr>
        <w:t xml:space="preserve">Quelle: </w:t>
      </w:r>
      <w:r>
        <w:t>https://mcp.opencaselaw.ch/entscheid/bger_7B_115_2026</w:t>
      </w:r>
    </w:p>
    <w:p>
      <w:r>
        <w:t>FR: TF 7B_115/2026 du 19 mars 2026</w:t>
      </w:r>
    </w:p>
    <w:p>
      <w:r>
        <w:t>IT: TF 7B_115/2026 del 19 marzo 2026</w:t>
      </w:r>
    </w:p>
    <w:p>
      <w:pPr>
        <w:pStyle w:val="Heading2"/>
      </w:pPr>
      <w:r>
        <w:t>Erwägungen</w:t>
      </w:r>
    </w:p>
    <w:p>
      <w:r>
        <w:rPr>
          <w:b/>
        </w:rPr>
        <w:t>E. 1</w:t>
      </w:r>
    </w:p>
    <w:p>
      <w:r>
        <w:t>A.________ (fortan: der Beschwerdeführer) erstattete am 8. November 2025 Strafanzeige gegen B.________ wegen "qualifizierter Verleumdung", Nötigung, Verweigerung der Meldepflicht an das Strassenverkehrsamt und "Freiheitsentzüge". Mit Verfügung vom 28. November 2025 nahm die Staatsanwaltschaft Rheinfelden-Laufenburg die Strafsache gegen die Beschuldigte nicht an die Hand. Dagegen erhob der Beschwerdeführer Beschwerde, auf welche das Obergericht des Kantons Aargau mit Entscheid vom 8. Januar 2026 nicht eintrat.</w:t>
      </w:r>
    </w:p>
    <w:p>
      <w:r>
        <w:t>Der Beschwerdeführer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Gegenstand des bundesgerichtlichen Verfahrens ist ausschliesslich der angefochtene Entscheid des Obergerichts vom 8. Januar 2026. Von vornherein nicht zu hören ist der Beschwerdeführer daher mit Ausführungen und Vorbringen, die ausserhalb des durch den angefochtenen Entscheid begrenzten Streitgegenstands liegen.</w:t>
      </w:r>
    </w:p>
    <w:p>
      <w:r>
        <w:rPr>
          <w:b/>
        </w:rPr>
        <w:t>E. 4.1</w:t>
      </w:r>
    </w:p>
    <w:p>
      <w:r>
        <w:t>Die Vorinstanz erwägt, der Beschwerdeführer setze sich in seiner kantonalen Beschwerde mit der Begründung der Staatsanwaltschaft nicht ansatzweise auseinander. Er begründe in keiner Form, inwiefern die Nichtanhandnahmeverfügung Bundesrecht verletze. Zudem verkenne er offensichtlich, dass Ehrverletzungsdelikte sowie auch die übrigen Vorwürfe keine - wie von ihm behauptet - Verbrechen gegen die Menschlichkeit im Sinne von Art. 264a StGB darstellten. Die Beschwerde enthalte offensichtlich keine hinreichende Begründung. Darüber hinaus sei für die vom Beschwerdeführer verlangte, sinngemässe Wiederaufnahme früherer Strafverfahren sowie die Entgegennahme neuer Strafanzeigen die Beschwerdeinstanz nicht zuständig.</w:t>
      </w:r>
    </w:p>
    <w:p>
      <w:r>
        <w:rPr>
          <w:b/>
        </w:rPr>
        <w:t>E. 4.2</w:t>
      </w:r>
    </w:p>
    <w:p>
      <w:r>
        <w:t>Mit diesen Erwägungen setzt sich der Beschwerdeführer nicht auseinander. Dass und inwiefern der angefochtene Entscheid in tatsächlicher oder rechtlicher Hinsicht fehlerhaft sein sollte, ergibt sich aus der Beschwerde nicht. Der Beschwerdeführer legt insbesondere nicht dar, weshalb die Vorinstanz auf seine kantonale Beschwerde hätte eintreten müssen. Damit vermag er den Begründungsanforderungen vor Bundesgericht nicht nachzukommen. Der Begründungsmangel ist offensichtlich ( Art. 42 Abs. 2, Art. 106 Abs. 2 BGG ).</w:t>
      </w:r>
    </w:p>
    <w:p>
      <w:r>
        <w:rPr>
          <w:b/>
        </w:rPr>
        <w:t>E. 5</w:t>
      </w:r>
    </w:p>
    <w:p>
      <w:r>
        <w:t>Auf die Beschwerde ist im vereinfachten Verfahren nach Art. 108 BGG nicht einzutreten.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