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7B_1155/2025 vom 9. Januar 2026</w:t>
      </w:r>
    </w:p>
    <w:p>
      <w:r>
        <w:t>Bundesgericht, 2026-01-09, FR</w:t>
      </w:r>
    </w:p>
    <w:p>
      <w:r>
        <w:rPr>
          <w:b/>
        </w:rPr>
        <w:t xml:space="preserve">Quelle: </w:t>
      </w:r>
      <w:r>
        <w:t>https://mcp.opencaselaw.ch/entscheid/bger_7B_1155_2025</w:t>
      </w:r>
    </w:p>
    <w:p>
      <w:r>
        <w:t>FR: TF 7B_1155/2025 du 9 janvier 2026</w:t>
      </w:r>
    </w:p>
    <w:p>
      <w:r>
        <w:t>IT: TF 7B_1155/2025 del 9 gennaio 2026</w:t>
      </w:r>
    </w:p>
    <w:p>
      <w:pPr>
        <w:pStyle w:val="Heading2"/>
      </w:pPr>
      <w:r>
        <w:t>Erwägungen</w:t>
      </w:r>
    </w:p>
    <w:p>
      <w:r>
        <w:rPr>
          <w:b/>
        </w:rPr>
        <w:t>E. 1.1</w:t>
      </w:r>
    </w:p>
    <w:p>
      <w:r>
        <w:t>Selon l' art. 42 al. 1 LTF , les mémoires de recours au Tribunal fédéral doivent indiquer les conclusions, les motifs et les moyens de preuve, et être signés.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l'arrêt entrepris, le recourant n'articule aucune critique topique propre à mettre en évidence en quoi la cour cantonale aurait violé le droit (soit en particulier l' art. 385 al. 1 et 2 CPP ) en déclarant son recours irrecevable au motif que celui-ci ne contenait aucune motivation.</w:t>
      </w:r>
    </w:p>
    <w:p>
      <w:r>
        <w:rPr>
          <w:b/>
        </w:rPr>
        <w:t>E. 1.3</w:t>
      </w:r>
    </w:p>
    <w:p>
      <w:r>
        <w:t>Ne répondant ainsi manifestement pas aux exigences de motivation d'un recours en matière pénale au Tribunal fédéral, l'acte du 20 novembre 2025, considéré comme un recours, doit être déclaré irrecevable selon la procédure simplifiée prévue par l' art. 108 al. 1 let. b LTF .</w:t>
      </w:r>
    </w:p>
    <w:p>
      <w:r>
        <w:rPr>
          <w:b/>
        </w:rPr>
        <w:t>E. 2</w:t>
      </w:r>
    </w:p>
    <w:p>
      <w:r>
        <w:t>En tant que le recourant sollicite la désignation d'un avocat d'office,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 art. 42 al. 2 LTF ) et de mandater, au besoin, un avocat de son choix qui sollicitera l'octroi de l'assistance judiciaire (arrêts 7B_916/2024 du 9 octobre 2024 consid. 2; 6B_1354/2023 du 23 janvier 2024 consid. 21 et les réf. citées). Or en l'occurrence, le recourant, qui requiert l'attribution d'un avocat par le Tribunal fédéral "pour bien défendre [s]es droits", n'allègue pas qu'en raison de son état de santé, il aurait été incapable de procéder par lui-même, ni n'expose en quoi il aurait été empêché de mandater un avocat de son choix. Il n'y a dès lors pas lieu de lui attribuer un avocat conformément à l' art. 41 al. 1 LTF .</w:t>
      </w:r>
    </w:p>
    <w:p>
      <w:r>
        <w:rPr>
          <w:b/>
        </w:rPr>
        <w:t>E. 3</w:t>
      </w:r>
    </w:p>
    <w:p>
      <w:r>
        <w:t>Il sera exceptionnellement statué sans frais ( art. 66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