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7B_1150/2024 vom 19. November 2024</w:t>
      </w:r>
    </w:p>
    <w:p>
      <w:r>
        <w:t>Bundesgericht, 2024-11-19, DE</w:t>
      </w:r>
    </w:p>
    <w:p>
      <w:r>
        <w:rPr>
          <w:b/>
        </w:rPr>
        <w:t xml:space="preserve">Quelle: </w:t>
      </w:r>
      <w:r>
        <w:t>https://mcp.opencaselaw.ch/entscheid/bger_7B_1150_2024</w:t>
      </w:r>
    </w:p>
    <w:p>
      <w:r>
        <w:t>FR: TF 7B_1150/2024 du 19 novembre 2024</w:t>
      </w:r>
    </w:p>
    <w:p>
      <w:r>
        <w:t>IT: TF 7B_1150/2024 del 19 novembre 2024</w:t>
      </w:r>
    </w:p>
    <w:p>
      <w:pPr>
        <w:pStyle w:val="Heading2"/>
      </w:pPr>
      <w:r>
        <w:t>Erwägungen</w:t>
      </w:r>
    </w:p>
    <w:p>
      <w:r>
        <w:rPr>
          <w:b/>
        </w:rPr>
        <w:t>E. 1</w:t>
      </w:r>
    </w:p>
    <w:p>
      <w:r>
        <w:t>Die Staatsanwaltschaft des Kantons Graubünden führt eine Strafuntersuchung gegen A.A.________ u.a. wegen des Verdachts der qualifizierten Widerhandlungen gegen das Betäubungsmittelgesetz. Mit Beschluss vom 16. August 2023 hiess das Kantonsgericht des Kantons Graubünden ein von A.A.________ gegen den fallführenden Staatsanwalt, B.________, gestelltes Ausstandsgesuch gut. Die von der Staatsanwaltschaft dagegen erhobene Beschwerde wies das Bundesgericht mit Urteil 7B_636/2023 vom 14. Februar 2024 ab. In der Folge wurde die Fallführung Staatsanwältin C.________ übertragen.</w:t>
      </w:r>
    </w:p>
    <w:p>
      <w:r>
        <w:rPr>
          <w:b/>
        </w:rPr>
        <w:t>E. 2</w:t>
      </w:r>
    </w:p>
    <w:p>
      <w:r>
        <w:t>Die von Staatsanwalt B.________ durchgeführte Konfrontationseinvernahme von A.A.________ und D.A.________ vom 30. Mai 2023 wird gestützt auf Art. 141 Abs. 5 StPO aus den Strafakten entfernt, bis zum rechtskräftigen Abschluss des Verfahrens unter separatem Verschluss gehalten und danach vernichtet.</w:t>
      </w:r>
    </w:p>
    <w:p>
      <w:r>
        <w:rPr>
          <w:b/>
        </w:rPr>
        <w:t>E. 3</w:t>
      </w:r>
    </w:p>
    <w:p>
      <w:r>
        <w:t>Mit Eingabe vom 28. Oktober 2024 führt A.A.________ Beschwerde in Strafsachen an das Bundesgericht. Er beantragt die Aufhebung des angefochtenen Beschlusses des Kantonsgerichts vom 8. Oktober 2024 und es sei der 15. März 2023 als Zeitpunkt des Eintretens des Ausstandsgrunds bei Staatsanwalt B.________ festzusetzen. Zudem seien sämtliche Einvernahmen, an denen Staatsanwalt B.________ mitwirkte, aufzuheben.</w:t>
      </w:r>
    </w:p>
    <w:p>
      <w:r>
        <w:t>Es wurden keine Vernehmlassungen eingeholt.</w:t>
      </w:r>
    </w:p>
    <w:p>
      <w:r>
        <w:rPr>
          <w:b/>
        </w:rPr>
        <w:t>E. 4</w:t>
      </w:r>
    </w:p>
    <w:p>
      <w:r>
        <w:t>Der angefochtene Beschluss schliesst das Strafverfahren nicht ab und betrifft auch kein Ausstandsbegehren im Sinne von Art. 92 Abs. 1 BGG , sondern die beweisrechtlichen Folgen eines rechtskräftigen Entscheids über ein gutgeheissenes Ausstandsgesuch, das bereits Gegenstand einer bundesgerichtlichen Beurteilung war. Beim angefochtenen Beschluss handelt es sich somit um einen Zwischenentscheid im Sinne von Art. 93 BGG . Als solcher ist er mit der Beschwerde in Strafsachen nur anfechtbar,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der Beschwerdeführer darzulegen, dass die Sachurteilsvoraussetzungen erfüllt sind; bei der Anfechtung von Zwischenentscheiden hat er die Tatsachen anzuführen, aus denen sich der nicht wiedergutzumachende Nachteil ergeben soll, sofern dies nicht offensichtlich ist ( BGE 148 IV 155 E. 1.1).</w:t>
      </w:r>
    </w:p>
    <w:p>
      <w:r>
        <w:rPr>
          <w:b/>
        </w:rPr>
        <w:t>E. 5</w:t>
      </w:r>
    </w:p>
    <w:p>
      <w:r>
        <w:t>Der Beschwerdeführer äussert sich mit keinem Wort zu den Sachurteilsvoraussetzungen von Art. 93 Abs. 1 lit. a BGG . Namentlich führt er nicht aus, dass und weshalb ihm aufgrund des angefochtenen Beschlusses ein nicht wieder gutzumachender Nachteil im Sinne von Art. 93 Abs. 1 lit. a BGG drohen soll. Dies ist auch nicht ersichtlich. Der blosse Umstand, dass ein Beweismittel, dessen Gültigkeit bestritten ist, bei den Akten bleibt, stellt nach ständiger Rechtsprechung keinen nicht wiedergutzumachenden Nachteil dar, da es möglich ist, diese Rüge bis zum endgültigen Abschluss des Verfahrens zu erneuern ( BGE 144 IV 90 E. 1.1.3; 143 IV 387 E. 4.4). Dass die Rechtswidrigkeit eines Beweismittels im vorliegenden Fall ohne Weiteres feststehen würde und der Beschwerdeführer deshalb ein besonders gewichtiges rechtlich geschütztes Interesse an der unverzüglichen Feststellung der Unverwertbarkeit hätte ( BGE 144 IV 127 E. 1.3.1; Urteil 7B_886/2023 vom 27. August 2024 E. 1.3), ist ebenfalls nicht ersichtlich und wird auch nicht dargetan. Abgesehen davon setzt sich der Beschwerdeführer nicht hinreichend mit der vorinstanzlichen Begründung auseinander.</w:t>
      </w:r>
    </w:p>
    <w:p>
      <w:r>
        <w:rPr>
          <w:b/>
        </w:rPr>
        <w:t>E. 6</w:t>
      </w:r>
    </w:p>
    <w:p>
      <w:r>
        <w:t>Auf die Beschwerde ist wegen Verletzung der gesetzlichen Begründungspflichten nicht einzutreten, und zwar, weil der Mangel offenkundig ist, im vereinfachten Verfahren nach Art. 108 Abs. 1 lit. b BGG . Das sinngemäss gestellte Gesuch um unentgeltliche Rechtspflege ist wegen Aussichtslosigkeit der Beschwerde abzuweisen ( Art. 64 Abs. 1 BGG ). Damit wird der Beschwerdeführer kostenpflichtig ( Art. 66 Abs. 1 BGG ). Seiner angespannten finanziellen Situation ist mit reduzierten Gerichtskosten Rechnungen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