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7B_113/2026 vom 25. Februar 2026</w:t>
      </w:r>
    </w:p>
    <w:p>
      <w:r>
        <w:t>Bundesgericht, 2026-02-25, DE</w:t>
      </w:r>
    </w:p>
    <w:p>
      <w:r>
        <w:rPr>
          <w:b/>
        </w:rPr>
        <w:t xml:space="preserve">Quelle: </w:t>
      </w:r>
      <w:r>
        <w:t>https://mcp.opencaselaw.ch/entscheid/bger_7B_113_2026</w:t>
      </w:r>
    </w:p>
    <w:p>
      <w:r>
        <w:t>FR: TF 7B_113/2026 du 25 février 2026</w:t>
      </w:r>
    </w:p>
    <w:p>
      <w:r>
        <w:t>IT: TF 7B_113/2026 del 25 febbraio 2026</w:t>
      </w:r>
    </w:p>
    <w:p>
      <w:pPr>
        <w:pStyle w:val="Heading2"/>
      </w:pPr>
      <w:r>
        <w:t>Erwägungen</w:t>
      </w:r>
    </w:p>
    <w:p>
      <w:r>
        <w:rPr>
          <w:b/>
        </w:rPr>
        <w:t>E. 1</w:t>
      </w:r>
    </w:p>
    <w:p>
      <w:r>
        <w:t>Mit Eingabe vom 27. Januar 2026 führt A.________ Beschwerde gegen die Verfügung des Verwaltungsgerichts des Kantons Zürich, 3. Abteilung, Einzelrichter, vom 30. Dezember 2025 betreffend Rechtsverweigerung.</w:t>
      </w:r>
    </w:p>
    <w:p>
      <w:r>
        <w:rPr>
          <w:b/>
        </w:rPr>
        <w:t>E. 2.1</w:t>
      </w:r>
    </w:p>
    <w:p>
      <w:r>
        <w:t>Vorliegend ist die Eingabe als Beschwerde in Strafsachen im Sinne von Art. 78 ff. BGG entgegenzunehmen. Dass der Beschwerdeführer auf die Normen zur Beschwerde in öffentlich-rechtlichen Angelegenheiten Art. 82 ff. BGG Bezug nimmt, ist nicht von Belang (vgl. Urteil 7B_190/2025 vom 4. Juli 2025 E. 1.2), so wie auch die unzutreffende Bezeichnung des Rechtsmittels nicht schadet (vgl. BGE 138 I 367 E. 1.1).</w:t>
      </w:r>
    </w:p>
    <w:p>
      <w:r>
        <w:rPr>
          <w:b/>
        </w:rPr>
        <w:t>E. 2.2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2.3</w:t>
      </w:r>
    </w:p>
    <w:p>
      <w:r>
        <w:t>Die Vorinstanz ist auf die Eingabe des Beschwerdeführers nicht eingetreten, weil sie hierfür sachlich nicht zuständig sei. Sie erwog im Wesentlichen, es handle sich weder um die Anfechtung eines verwaltungsrechtlichen Entscheids, noch komme ihr eine aufsichtsrechtliche Zuständigkeit gegenüber den angerufenen Behörden zu. Zudem stehe es dem Beschwerdeführer frei, vom Forensischen Institut Zürich den Erlass einer anfechtbaren Anordnung betreffend den Vollzug der Abnahme einer DNA-Probe und den Vollzug betreffend Erstellung eines DNA-Profils zu verlangen.</w:t>
      </w:r>
    </w:p>
    <w:p>
      <w:r>
        <w:rPr>
          <w:b/>
        </w:rPr>
        <w:t>E. 2.4</w:t>
      </w:r>
    </w:p>
    <w:p>
      <w:r>
        <w:t>Der Beschwerdeführer bringt vor Bundesgericht vor, ihm sei der verfassungsmässige Anspruch auf effektiven Rechtsschutz gemäss Art. 29a BV verweigert worden. Er macht geltend, keine kantonale Instanz habe sich materiell mit der Rechtmässigkeit der polizeilichen Vorführung vom 1. Dezember 2025 befasst. Mit diesen Vorbringen setzt sich der Beschwerdeführer indessen nicht rechtsgenüglich mit den vorinstanzlichen Erwägungen auseinander. Die Vorinstanz hat das Nichteintreten ausdrücklich mit fehlender sachlicher Zuständigkeit begründet und aufgezeigt, welcher Rechtsweg nach kantonalem Recht offensteht. Der Beschwerdeführer legt nicht substanziiert dar, inwiefern das Nichteintreten der Vorinstanz bzw. ihre Auslegung des kantonalen Verfahrensrechts willkürlich ( Art. 9 BV ) oder sonst bundesrechtswidrig sein soll. Soweit er sich auf Art. 29a BV beruft, übersieht er, dass die Rechtsweggarantie keinen bestimmten Instanzenzug vorschreibt, sondern lediglich den Zugang zu einem Gericht gewährleistet. Dass ein solcher Zugang schlechthin ausgeschlossen wäre, wird nicht rechtsgenüglich dargetan. Die Vorinstanz hat vielmehr auf eine mögliche Vorgehensweise hingewiesen, die dem Beschwerdeführer offensteht. Die Beschwerde erschöpft sich damit weitgehend in appellatorischer Kritik am angefochtenen Entscheid, ohne sich mit deren Begründung hinreichend auseinanderzusetzen. Mangels hinreichender Begründung im Sinne von Art. 42 Abs. 2 und Art. 106 Abs. 2 BGG ist auf die Beschwerde nicht einzutreten ( Art. 108 Abs. 1 lit. b BGG ).</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