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7B_112/2025 vom 20. Mai 2025</w:t>
      </w:r>
    </w:p>
    <w:p>
      <w:r>
        <w:t>Bundesgericht, 2025-05-20, DE</w:t>
      </w:r>
    </w:p>
    <w:p>
      <w:r>
        <w:rPr>
          <w:b/>
        </w:rPr>
        <w:t xml:space="preserve">Quelle: </w:t>
      </w:r>
      <w:r>
        <w:t>https://mcp.opencaselaw.ch/entscheid/bger_7B_112_2025</w:t>
      </w:r>
    </w:p>
    <w:p>
      <w:r>
        <w:t>FR: TF 7B_112/2025 du 20 mai 2025</w:t>
      </w:r>
    </w:p>
    <w:p>
      <w:r>
        <w:t>IT: TF 7B_112/2025 del 20 maggio 2025</w:t>
      </w:r>
    </w:p>
    <w:p>
      <w:pPr>
        <w:pStyle w:val="Heading2"/>
      </w:pPr>
      <w:r>
        <w:t>Erwägungen</w:t>
      </w:r>
    </w:p>
    <w:p>
      <w:r>
        <w:rPr>
          <w:b/>
        </w:rPr>
        <w:t>E. 1</w:t>
      </w:r>
    </w:p>
    <w:p>
      <w:r>
        <w:t>Die Beschwerde in Strafsachen (hierorts eingegangen am 6. Februar 2025) gegen den Beschluss des Obergerichts des Kantons Zürich vom 19. Dezember 2024 wurde mit Eingabe vom 3. März 2025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