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7B_1122/2025 vom 15. Dezember 2025</w:t>
      </w:r>
    </w:p>
    <w:p>
      <w:r>
        <w:t>Bundesgericht, 2025-12-15, DE</w:t>
      </w:r>
    </w:p>
    <w:p>
      <w:r>
        <w:rPr>
          <w:b/>
        </w:rPr>
        <w:t xml:space="preserve">Quelle: </w:t>
      </w:r>
      <w:r>
        <w:t>https://mcp.opencaselaw.ch/entscheid/bger_7B_1122_2025</w:t>
      </w:r>
    </w:p>
    <w:p>
      <w:r>
        <w:t>FR: TF 7B_1122/2025 du 15 décembre 2025</w:t>
      </w:r>
    </w:p>
    <w:p>
      <w:r>
        <w:t>IT: TF 7B_1122/2025 del 15 dicembre 2025</w:t>
      </w:r>
    </w:p>
    <w:p>
      <w:pPr>
        <w:pStyle w:val="Heading2"/>
      </w:pPr>
      <w:r>
        <w:t>Erwägungen</w:t>
      </w:r>
    </w:p>
    <w:p>
      <w:r>
        <w:rPr>
          <w:b/>
        </w:rPr>
        <w:t>E. 1</w:t>
      </w:r>
    </w:p>
    <w:p>
      <w:r>
        <w:t>Mit Beschluss vom 6. Oktober 2025 wies das Obergericht des Kantons Solothurn die Beschwerde des Beschwerdeführers gegen die Einstellungsverfügung der Jugendanwaltschaft des Kantons Solothurn vom 14. August 2025 ab. Der Beschwerdeführer gelangte dagegen mit Beschwerde in Strafsachen vom 22. Oktober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w:t>
      </w:r>
    </w:p>
    <w:p>
      <w:r>
        <w:t>Soweit die Beschwerde sinngemäss das Strafantragsrecht als solches nach Art. 81 Abs. 1 lit. b Ziff. 6 BGG betreffen soll, geht die Begründung nicht über unzulässige appellatorische Kritik hinaus, womit der Beschwerdeführer nicht zu hören ist ( BGE 148 IV 356 E. 2.1, 39 E. 2.3.5; 147 IV 73 E. 4.1.2; je mit Hinweisen).</w:t>
      </w:r>
    </w:p>
    <w:p>
      <w:r>
        <w:t>Formelle Rügen, zu deren Geltendmachung der Beschwerdeführer unbesehen der fehlenden Legitimation in der Sache berechtigt wäre, da sie namentlich von der Prüfung der Sache getrennt werden können (sog. "Star-Praxis"; vgl. BGE 146 IV 76 E. 2; 141 IV 1 E. 1.1), werden nicht erhoben.</w:t>
      </w:r>
    </w:p>
    <w:p>
      <w:r>
        <w:t>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