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7B_1118/2025 vom 15. Dezember 2025</w:t>
      </w:r>
    </w:p>
    <w:p>
      <w:r>
        <w:t>Bundesgericht, 2025-12-15, FR</w:t>
      </w:r>
    </w:p>
    <w:p>
      <w:r>
        <w:rPr>
          <w:b/>
        </w:rPr>
        <w:t xml:space="preserve">Quelle: </w:t>
      </w:r>
      <w:r>
        <w:t>https://mcp.opencaselaw.ch/entscheid/bger_7B_1118_2025</w:t>
      </w:r>
    </w:p>
    <w:p>
      <w:r>
        <w:t>FR: TF 7B_1118/2025 du 15 décembre 2025</w:t>
      </w:r>
    </w:p>
    <w:p>
      <w:r>
        <w:t>IT: TF 7B_1118/2025 del 15 dicembre 2025</w:t>
      </w:r>
    </w:p>
    <w:p>
      <w:pPr>
        <w:pStyle w:val="Heading2"/>
      </w:pPr>
      <w:r>
        <w:t>Erwägungen</w:t>
      </w:r>
    </w:p>
    <w:p>
      <w:r>
        <w:rPr>
          <w:b/>
        </w:rPr>
        <w:t>E. 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w:t>
      </w:r>
    </w:p>
    <w:p>
      <w:r>
        <w:t>En l'occurrence, l'arrêt attaqué a été notifié au recourant par pli recommandé le 16 septembre 2025, de sorte que le délai de recours est arrivé à échéance le 16 octobre 2025. Il s'ensuit que le recours, qui a été déposé le 20 octobre 2025, est tardif, ce que le recourant ne conteste pas.</w:t>
      </w:r>
    </w:p>
    <w:p>
      <w:r>
        <w:rPr>
          <w:b/>
        </w:rPr>
        <w:t>E. 2</w:t>
      </w:r>
    </w:p>
    <w:p>
      <w:r>
        <w:t>Le recourant demande la restitution du délai de recours.</w:t>
      </w:r>
    </w:p>
    <w:p>
      <w:r>
        <w:rPr>
          <w:b/>
        </w:rPr>
        <w:t>E. 2.1</w:t>
      </w:r>
    </w:p>
    <w:p>
      <w:r>
        <w:t>L' art. 50 al. 1 LTF dispose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La restitution du délai est ainsi subordonnée à la condition qu'aucun reproche ne puisse être formulé à l'endroit de la partie ou de son mandataire.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 7B_552/2025 du 25 juin 2025 consid. 2.2 et les références citées). Une demande de restitution d'un délai doit aussi satisfaire aux exigences de motivation, en application par analogie de l' art. 42 al. 2 LTF , et, au besoin, être accompagnée des moyens de preuve éventuels permettant d'attester l'empêchement (arrêt 2C_72/2025 du 25 avril 2025 consid. 3.3 et les références citées; Jean-Maurice Frésard, Commentaire de la LTF, 3e éd. 2022, n° 20 ad art. 50 LTF ).</w:t>
      </w:r>
    </w:p>
    <w:p>
      <w:r>
        <w:rPr>
          <w:b/>
        </w:rPr>
        <w:t>E. 2.2</w:t>
      </w:r>
    </w:p>
    <w:p>
      <w:r>
        <w:t>En l'occurrence, le recourant se contente de prétendre avoir été empêché d'agir dans le délai fixé parce que son programme aurait été chargé à cause des problèmes de santé "assez graves" dont il souffrirait depuis une vingtaine de jours et des coups que sa fille aurait reçus de son employeur. Ces allégations, qui ne sont étayées par aucune pièce, ne démontrent toutefois pas la survenance d'un événement soudain qui aurait empêché le recourant de prendre à temps les dispositions nécessaires pour déposer son recours, qui est daté du dernier jour du délai, avant l'échéance de celui-ci, respectivement pour faire appel aux services d'un tiers à cette fin. Elles ne suffisent ainsi pas à démontrer l'existence d'un empêchement d'agir non fautif au sens de l' art. 50 al. 1 LTF .</w:t>
      </w:r>
    </w:p>
    <w:p>
      <w:r>
        <w:rPr>
          <w:b/>
        </w:rPr>
        <w:t>E. 2.3</w:t>
      </w:r>
    </w:p>
    <w:p>
      <w:r>
        <w:t>La demande de restitution de délai ne peut dès lors qu'être rejetée dans la mesure de sa recevabilité. En conséquence, le recours, manifestement irrecevable, doit être écarté selon la procédure simplifiée prévue par l' art. 108 al. 1 let. a LTF .</w:t>
      </w:r>
    </w:p>
    <w:p>
      <w:r>
        <w:rPr>
          <w:b/>
        </w:rPr>
        <w:t>E. 3</w:t>
      </w:r>
    </w:p>
    <w:p>
      <w:r>
        <w:t>Comme le recours était d'emblée dénué de chances de succès, la demande d'assistance judiciaire doit être rejetée ( art. 64 al. 1 LTF ), ce qui relève également de la compétence du juge unique prévue par l' art. 108 LTF ( art. 64 al. 3 2</w:t>
      </w:r>
    </w:p>
    <w:p>
      <w:r>
        <w:t>e phrase LTF; arrêt 7B_552/2025 du 25 juin 2025 consid. 3). Le recourant,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