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7B_1110/2025 vom 5. Januar 2026</w:t>
      </w:r>
    </w:p>
    <w:p>
      <w:r>
        <w:t>Bundesgericht, 2026-01-05, FR</w:t>
      </w:r>
    </w:p>
    <w:p>
      <w:r>
        <w:rPr>
          <w:b/>
        </w:rPr>
        <w:t xml:space="preserve">Quelle: </w:t>
      </w:r>
      <w:r>
        <w:t>https://mcp.opencaselaw.ch/entscheid/bger_7B_1110_2025</w:t>
      </w:r>
    </w:p>
    <w:p>
      <w:r>
        <w:t>FR: TF 7B_1110/2025 du 5 janvier 2026</w:t>
      </w:r>
    </w:p>
    <w:p>
      <w:r>
        <w:t>IT: TF 7B_1110/2025 del 5 gennaio 2026</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résultant de l'infraction alléguée,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3.1.2 et 3.3; 146 IV 76 consid. 3.1). 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de la nature de l'infraction alléguée ( ATF 141 IV 1 consid. 1.1). Il peut en aller ainsi en cas d'infraction portant directement atteinte à l'intégrité physique, psychique ou sexuelle, dont la gravité apparaît telle qu'elle ouvrirait incontestablement le droit à des dommages-intérêts ou à une indemnité pour tort moral (arrêts 7B_953/2025 du 10 octobre 2025 consid. 1.1; 7B_304/2025 du 23 mai 2025 consid. 1.2.1).</w:t>
      </w:r>
    </w:p>
    <w:p>
      <w:r>
        <w:rPr>
          <w:b/>
        </w:rPr>
        <w:t>E. 1.2</w:t>
      </w:r>
    </w:p>
    <w:p>
      <w:r>
        <w:t>Le recourant ne s'exprime nullement sur un éventuel tort moral ou dommage, ni sur leur principe ni sur leur quotité. On ne peut en outre pas déduire, directement et sans ambiguïté, de la nature de l'infraction alléguée quelles seraient concrètement les prétentions civiles que le recourant pourrait faire valoir dans le procès pénal, sa gravité n'apparaissant pas telle qu'elle ouvrirait incontestablement le droit à des dommages-intérêts ou à une indemnité pour tort moral. Il s'ensuit que le recourant n'a pas la qualité pour recourir sur le fond de la cause au sens de l'art. 81 al. 1 let. b ch. 5 LTF.</w:t>
      </w:r>
    </w:p>
    <w:p>
      <w:r>
        <w:rPr>
          <w:b/>
        </w:rPr>
        <w:t>E. 2</w:t>
      </w:r>
    </w:p>
    <w:p>
      <w:r>
        <w:t>L'autorité précédente a certes relevé que la plainte pénale du recourant datée du 20 novembre 2024 avait été déposée tardivement au sens de l' art. 31 CP . Elle a toutefois considéré, dans une argumentation subsidiaire, que ladite plainte pénale était de toute manière infondée. Dès lors, la contestation ne saurait porter sur le droit de porter plainte du recourant, dès lors qu'aucune incidence juridique ne peut être tirée de l'éventuelle tardiveté de la plainte pénale en question. Partant l'hypothèse visée à l'art. 81 al. 1 let. b ch. 6 LTF n'entre pas en considération.</w:t>
      </w:r>
    </w:p>
    <w:p>
      <w:r>
        <w:rPr>
          <w:b/>
        </w:rPr>
        <w:t>E. 3</w:t>
      </w:r>
    </w:p>
    <w:p>
      <w:r>
        <w:t>Indépendamment des conditions posées par l' art. 81 al. 1 LTF , la partie plaignante est aussi habilitée à se plaindre d'une violation de ses droits de partie équivalant à un déni de justice formel, sans toutefois pouvoir faire valoir par ce biais, même indirectement, des moyens qui ne peuvent être séparés du fond ( ATF 146 IV 76 consid. 2; 141 IV 1 consid. 1.1). Tel n'est pas le cas en l'espèce, le recourant ne présentant pas de grief susceptible d'être examiné à ce titre.</w:t>
      </w:r>
    </w:p>
    <w:p>
      <w:r>
        <w:rPr>
          <w:b/>
        </w:rPr>
        <w:t>E. 4</w:t>
      </w:r>
    </w:p>
    <w:p>
      <w:r>
        <w:t>L'irrecevabilité manifeste du recours doit dès lors être constatée dans la procédure prévue par l' art. 108 al. 1 let. a LTF . Le recourant,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