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110/2024 vom 6. Mai 2024</w:t>
      </w:r>
    </w:p>
    <w:p>
      <w:r>
        <w:t>Bundesgericht, 2024-05-06, FR</w:t>
      </w:r>
    </w:p>
    <w:p>
      <w:r>
        <w:rPr>
          <w:b/>
        </w:rPr>
        <w:t xml:space="preserve">Quelle: </w:t>
      </w:r>
      <w:r>
        <w:t>https://mcp.opencaselaw.ch/entscheid/bger_7B_110_2024</w:t>
      </w:r>
    </w:p>
    <w:p>
      <w:r>
        <w:t>FR: TF 7B 110/2024 du 6 mai 2024</w:t>
      </w:r>
    </w:p>
    <w:p>
      <w:r>
        <w:t>IT: TF 7B 110/2024 del 6 maggio 2024</w:t>
      </w:r>
    </w:p>
    <w:p>
      <w:pPr>
        <w:pStyle w:val="Heading2"/>
      </w:pPr>
      <w:r>
        <w:t>Regeste</w:t>
      </w:r>
    </w:p>
    <w:p>
      <w:r>
        <w:t>Ordonnance de non-entrée en matière, | Procédure pénale</w:t>
      </w:r>
    </w:p>
    <w:p>
      <w:pPr>
        <w:pStyle w:val="Heading2"/>
      </w:pPr>
      <w:r>
        <w:t>Erwägungen</w:t>
      </w:r>
    </w:p>
    <w:p>
      <w:r>
        <w:rPr>
          <w:b/>
        </w:rPr>
        <w:t>E. 1.1</w:t>
      </w:r>
    </w:p>
    <w:p>
      <w:r>
        <w:t>Conformément à l' art. 42 al. 1 LTF , les mémoires doivent être rédigés dans une langue officielle, indiquer les conclusions, les motifs et les moyens de preuve, et être signés. Hors des cas visés par l' art. 42 al. 4 LTF (transmission par voie électronique), selon la jurisprudence, l'exigence de la signature s'entend, pour des raisons de sécurité, d'une signature manuscrite, si bien que celle-ci ne peut pas figurer en photocopie. Par ailleurs, selon cette jurisprudence, une partie qui envoie un recours en copie sait qu'elle ne peut pas remplir la condition de la signature manuscrite, de sorte que son recours sera déclaré irrecevable, sans qu'il soit nécessaire de lui donner l'occasion de remédier à ce vice ( ATF 121 II 252 consid. 3 et 4b; arrêts 1B_456/2020 du 8 octobre 2020 consid. 2; 6B_1277/2019 du 20 novembre 2019 consid. 2; cf. FLORENCE AUBRY GIRARDIN, in : Commentaire de la LTF, 3e éd. 2022, n° 56 et 60 ad art. 42 LTF ).</w:t>
      </w:r>
    </w:p>
    <w:p>
      <w:r>
        <w:rPr>
          <w:b/>
        </w:rPr>
        <w:t>E. 1.2</w:t>
      </w:r>
    </w:p>
    <w:p>
      <w:r>
        <w:t>En l'espèce, il résulte d'une comparaison entre la signature figurant sur le courrier du 9 février 2024 et celle apposée sur le mémoire de recours que celui-ci ne comporte qu'une copie de la signature du recourant, ce que ce dernier, rendu attentif à cette irrégularité par ordonnance du 1 er février 2024, ne conteste d'ailleurs pas. Partant, faute de répondre aux exigences de forme requises, le recours doit être déclaré irrecevable, sans qu'il soit nécessaire d'accorder à son auteur un délai supplémentaire pour corriger cette irrégularité.</w:t>
      </w:r>
    </w:p>
    <w:p>
      <w:r>
        <w:rPr>
          <w:b/>
        </w:rPr>
        <w:t>E. 2</w:t>
      </w:r>
    </w:p>
    <w:p>
      <w:r>
        <w:t>L'irrecevabilité manifeste du recours doit être constatée dans la procédure prévue par l' art. 108 al. 1 let. a CPP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