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7B_1109/2025 vom 15. Dezember 2025</w:t>
      </w:r>
    </w:p>
    <w:p>
      <w:r>
        <w:t>Bundesgericht, 2025-12-15, FR</w:t>
      </w:r>
    </w:p>
    <w:p>
      <w:r>
        <w:rPr>
          <w:b/>
        </w:rPr>
        <w:t xml:space="preserve">Quelle: </w:t>
      </w:r>
      <w:r>
        <w:t>https://mcp.opencaselaw.ch/entscheid/bger_7B_1109_2025</w:t>
      </w:r>
    </w:p>
    <w:p>
      <w:r>
        <w:t>FR: TF 7B_1109/2025 du 15 décembre 2025</w:t>
      </w:r>
    </w:p>
    <w:p>
      <w:r>
        <w:t>IT: TF 7B_1109/2025 del 15 dicembre 2025</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rPr>
          <w:b/>
        </w:rPr>
        <w:t>E. 1.2.2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1.2.3</w:t>
      </w:r>
    </w:p>
    <w:p>
      <w:r>
        <w:t>S'agissant de leurs conclusions civiles, les recourants, assistés par des mandataires professionnels, se contentent de renvoyer à un courrier dans lequel ils auraient "justifié leurs prétentions civiles de manière détaillée" (recours, p. 3), sans dire mot sur le contenu de ce courrier, ni le joindre à leur mémoire. Ce faisant, les recourants ne satisfont manifestement pas aux exigences de motivation rappelées ci-dessus. Tel est d'autant moins le cas que, selon la jurisprudence, la motivation d'un acte de recours doit être entièrement contenue dans l'acte lui-même, si bien qu'un simple renvoi à d'autres écritures n'est pas suffisant (arrêt 7B_907/2023 du 18 juillet 2025 consid. 4.2.3 et les références citées). Le statut de proches (cf. art. 121 CPP ), respectivement d'héritiers légaux (cf. art. 458 CC ), des recourants, comme la nature de l'infraction dénoncée, soit un homicide par négligence (cf. art. 117 CP ), ne changent rien à ce qui précède: la lecture du recours ne permet pas de savoir quelles seraient les prétentions civiles que les recourants auraient concrètement fait valoir contre le prévenu par adhésion à la procédure pénale, ni quelle en serait la quotité (pour un exemple contraire, cf. arrêt 7B_76/2022 du 19 juillet 2024 consid. 1.3.1). Au surplus, alors que les recourants disposent, de par la loi, d'une action directe contre l'assureur responsabilité civile du détenteur du véhicule automobile, dès lors que la victime est décédée ensuite d'une collision avec un véhicule automobile qu'il était en train de dépasser (cf. par exemple arrêt 4A_433/2013 du 15 avril 2014), ils n'exposent pas quelles prétentions civiles ils pourraient encore concrètement faire valoir contre le prévenu (cf. arrêt 6B_1163/2017 du 10 avril 2018 consid. 1.4).</w:t>
      </w:r>
    </w:p>
    <w:p>
      <w:r>
        <w:rPr>
          <w:b/>
        </w:rPr>
        <w:t>E. 1.2.4</w:t>
      </w:r>
    </w:p>
    <w:p>
      <w:r>
        <w:t>Les recourants ne démontrent par conséquent pas avoir qualité pour recourir sur le fond en application de l'art. 81 al. 1 let. a et b ch. 5 LTF.</w:t>
      </w:r>
    </w:p>
    <w:p>
      <w:r>
        <w:rPr>
          <w:b/>
        </w:rPr>
        <w:t>E. 1.3</w:t>
      </w:r>
    </w:p>
    <w:p>
      <w:r>
        <w:t>L'art. 81 al. 1 let. b ch. 6 LTF n'entre pas en considération en l'espèce, dès lors que les recourants ne soulèvent aucun grief concernant leur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w:t>
      </w:r>
    </w:p>
    <w:p>
      <w:r>
        <w:t>En l'occurrence, les recourants ne soulèvent pas de grief de violation de leurs droits de partie, de sorte qu'ils ne disposent pas non plus de la qualité pour recourir sous cet angle.</w:t>
      </w:r>
    </w:p>
    <w:p>
      <w:r>
        <w:rPr>
          <w:b/>
        </w:rPr>
        <w:t>E. 2</w:t>
      </w:r>
    </w:p>
    <w:p>
      <w:r>
        <w:t>L'irrecevabilité manifeste du recours doit dès lors être constatée dans la procédure prévue par l' art. 108 al. 1 let. a LTF . Les recourants, qui succombent, supporteront les frais judiciaires solidairement entre eux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