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1106/2024 vom 3. Dezember 2024</w:t>
      </w:r>
    </w:p>
    <w:p>
      <w:r>
        <w:t>Bundesgericht, 2024-12-03, FR</w:t>
      </w:r>
    </w:p>
    <w:p>
      <w:r>
        <w:rPr>
          <w:b/>
        </w:rPr>
        <w:t xml:space="preserve">Quelle: </w:t>
      </w:r>
      <w:r>
        <w:t>https://mcp.opencaselaw.ch/entscheid/bger_7B_1106_2024</w:t>
      </w:r>
    </w:p>
    <w:p>
      <w:r>
        <w:t>FR: TF 7B 1106/2024 du 3 décembre 2024</w:t>
      </w:r>
    </w:p>
    <w:p>
      <w:r>
        <w:t>IT: TF 7B 1106/2024 del 3 dicembre 2024</w:t>
      </w:r>
    </w:p>
    <w:p>
      <w:pPr>
        <w:pStyle w:val="Heading2"/>
      </w:pPr>
      <w:r>
        <w:t>Regeste</w:t>
      </w:r>
    </w:p>
    <w:p>
      <w:r>
        <w:t>Mise en accusation; irrecevabilité du recours en matière pénale (motivation insuffisante) | Procédure pénale</w:t>
      </w:r>
    </w:p>
    <w:p>
      <w:pPr>
        <w:pStyle w:val="Heading2"/>
      </w:pPr>
      <w:r>
        <w:t>Erwägungen</w:t>
      </w:r>
    </w:p>
    <w:p>
      <w:r>
        <w:rPr>
          <w:b/>
        </w:rPr>
        <w:t>E. 1</w:t>
      </w:r>
    </w:p>
    <w:p>
      <w:r>
        <w:t>L'objet du recours est strictement circonscrit par l'arrêt attaqué ( art. 80 al. 1 et 90 LTF ). Aussi, toutes les conclusions ou les griefs qui se rapportent à d'autres actes ou à d'autres procédures sont irrecevables (cf. ATF 136 II 457 consid. 4.2; 136 V 362 consid. 3.4.2; 142 I 155 consid. 4.4.2). Il en va ainsi notamment des arguments et des conclusions par lesquels le recourant s'attaque à la validité des oppositions formées aux ordonnances pénales du 19 juin 2024, respectivement au bien-fondé de ces dernières, voire à d'autres actes ou décisions qui ne font pas l'objet de la procédure pénale P/9722/2022.</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2.2</w:t>
      </w:r>
    </w:p>
    <w:p>
      <w:r>
        <w:t>En l'espèce, la cour cantonale a considéré que les ordonnances du 29 juillet 2024 - par lesquelles le Ministère public a maintenu les quatre ordonnances pénales qu'il avait rendues le 19 juin 2024 et transmis la cause au Tribunal de police afin notamment qu'il statue sur la validité des oppositions formées - n'étaient pas sujettes à recours. Elle a relevé à cet égard que, lorsque l'ordonnance pénale était maintenue, elle tenait lieu d'acte d'accusation (cf. art. 356 al. 1 CPP ), lequel n'était pas sujet à recours conformément à l' art. 324 al. 2 CPP (cf. arrêt attaqué, p. 2 s.).</w:t>
      </w:r>
    </w:p>
    <w:p>
      <w:r>
        <w:rPr>
          <w:b/>
        </w:rPr>
        <w:t>E. 2.3</w:t>
      </w:r>
    </w:p>
    <w:p>
      <w:r>
        <w:t>Face à la motivation cantonale, le recourant se prévaut de l'existence d'un préjudice irréparable que les ordonnances du Ministère public et l'arrêt attaqué seraient susceptibles de lui causer dans le contexte d'une situation personnelle et familiale difficile. Il n'articule toutefois aucune critique sur les motifs ayant fondé l'irrecevabilité de son recours cantonal. Ce faisant, il ne propose aucune motivation, conforme aux exigences en la matière, susceptible de démontrer que l'autorité précédente aurait violé le droit fédéral en prononçant l'arrêt attaqué.</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let.a et b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 La cause étant jugée,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