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7B_10/2022 vom 25. September 2023</w:t>
      </w:r>
    </w:p>
    <w:p>
      <w:r>
        <w:t>Bundesgericht, 2023-09-25, FR</w:t>
      </w:r>
    </w:p>
    <w:p>
      <w:r>
        <w:rPr>
          <w:b/>
        </w:rPr>
        <w:t xml:space="preserve">Quelle: </w:t>
      </w:r>
      <w:r>
        <w:t>https://mcp.opencaselaw.ch/entscheid/bger_7B_10_2022</w:t>
      </w:r>
    </w:p>
    <w:p>
      <w:r>
        <w:t>FR: TF 7B_10/2022 du 25 septembre 2023</w:t>
      </w:r>
    </w:p>
    <w:p>
      <w:r>
        <w:t>IT: TF 7B_10/2022 del 25 settembre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Les mêmes exigences sont requises à l'égard de celui qui se plaint d'infractions attentatoires à l'honneur (parmi d'autres: arrêts 6B_1148/2021 du 23 juin 2023 consid. 1.7; 6B_1324/2021 du 20 septembre 2022 consid. 1.1.1; 6B_89/2022 du 2 juin 2022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arrêts 6B_1324/2021 précité consid. 1.1.1; 6B_89/2022 précité consid. 1.1).</w:t>
      </w:r>
    </w:p>
    <w:p>
      <w:r>
        <w:rPr>
          <w:b/>
        </w:rPr>
        <w:t>E. 1.2</w:t>
      </w:r>
    </w:p>
    <w:p>
      <w:r>
        <w:t>En l'espèce, la recourante entend notamment obtenir de D.B.________, E.B.________ et F.B.________, solidairement entre eux, le versement d'une indemnité pour tort moral, qu'elle chiffre en l'état à 5'000 francs. Elle explique qu'à la suite des accusations de maltraitance proférées par ces derniers, elle s'était sentie attaquée dans sa dignité au point d'avoir été profondément traumatisée par l'éventualité que l'autorité de protection de l'adulte et de l'enfant lui ordonne de vivre séparée de son époux et lui retire la garde de sa fille. Elle relève, certificat médical à l'appui, que ce traumatisme, lié aux procédures judiciaires la visant, a nécessité à la fin de l'année 2020 la consultation de son médecin traitant, qui lui assure depuis lors un suivi psychothérapeutique hebdomadaire destiné à soigner sa profonde dépression ainsi que les atteintes physiques subies (insomnies, migraines). Le certificat médical produit mentionne en outre la prescription à la recourante d'un traitement à base de plantes destiné à contenir ses affections.</w:t>
      </w:r>
    </w:p>
    <w:p>
      <w:r>
        <w:t>Dans la mesure où la recourante fait valoir qu'elle a été victime d'une atteinte suffisamment grave pour, le cas échant, justifier l'allocation d'une indemnité pour tort moral fondée sur l' art. 49 al. 1 CO , la qualité pour recourir doit lui être reconnue pour les infractions de diffamation et de calomnie dénoncées (cf. art. 81 al. 1 let. a et b ch. 5 LTF).</w:t>
      </w:r>
    </w:p>
    <w:p>
      <w:r>
        <w:rPr>
          <w:b/>
        </w:rPr>
        <w:t>E. 1.3</w:t>
      </w:r>
    </w:p>
    <w:p>
      <w:r>
        <w:t>Au surplus, dirigé contre une décision émanant d'une autorité cantonale de dernière instance ( art. 80 al. 1 LTF ) et interjeté dans le délai légal ( art. 100 al. 1 LTF ), le recours satisfait pour l'essentiel aux exigences de forme ( art. 42 al. 1 et 2 LTF ).</w:t>
      </w:r>
    </w:p>
    <w:p>
      <w:r>
        <w:rPr>
          <w:b/>
        </w:rPr>
        <w:t>E. 2</w:t>
      </w:r>
    </w:p>
    <w:p>
      <w:r>
        <w:t>Il n'y a pas lieu de prendre en considération les pièces nouvelles produites par la recourante, celle-ci ne démontrant pas en quoi il y aurait matière en l'espèce à s'écarter du principe décrit à l' art. 99 al. 1 LTF s'agissant de l'interdiction des faits et moyens de preuve nouveaux en instance fédérale.</w:t>
      </w:r>
    </w:p>
    <w:p>
      <w:r>
        <w:rPr>
          <w:b/>
        </w:rPr>
        <w:t>E. 3</w:t>
      </w:r>
    </w:p>
    <w:p>
      <w:r>
        <w:t>En tant que, dans un premier grief, la recourante se plaint qu'à plusieurs égards, l'ordonnance de non-entrée en matière du 22 novembre 2021 n'aurait pas été suffisamment motivée par le Ministère public, en violation de son droit d'être entendue garanti par l' art. 29 Cst. , elle ne prétend pas avoir fait état de telles critiques dans son recours adressé à la cour cantonale, alors qu'elle était pourtant assistée d'un mandataire professionnel, pas plus qu'elle ne reproche aux juges précédents un déni de justice ou, d'une autre manière, une violation de son droit d'être entendue, dès lors qu'ils ne se seraient pas prononcés sur un grief valablement formulé dans son recours. A tout le moins, il apparaît que la motivation de l'ordonnance de non-entrée en matière n'a pas empêché la recourante de recourir utilement et d'exposer dans ce cadre les motifs qui justifiaient selon elle un renvoi de la cause au ministère public pour qu'il ordonne l'ouverture d'une procédure pénale.</w:t>
      </w:r>
    </w:p>
    <w:p>
      <w:r>
        <w:t>Il apparaît dès lors que le grief tiré d'une motivation insuffisante de l'ordonnance de non-entrée en matière, soulevé pour la première fois devant le Tribunal fédéral, s'apparente à un procédé contraire au principe de la bonne foi ( art. 3 al. 2 let. a CPP ), le rendant irrecevable (cf. ATF 142 I 155 consid. 4.4.6; 134 III 643 consid. 5.3.2).</w:t>
      </w:r>
    </w:p>
    <w:p>
      <w:r>
        <w:rPr>
          <w:b/>
        </w:rPr>
        <w:t>E. 4.1</w:t>
      </w:r>
    </w:p>
    <w:p>
      <w:r>
        <w:t>La recourante conteste le refus d'entrer en matière sur les plaintes qu'elle avait déposées le 28 avril 2021. Se plaignant d'arbitraire ( art. 9 Cst. ) dans l'établissement des faits, elle invoque une violation du principe</w:t>
      </w:r>
    </w:p>
    <w:p>
      <w:r>
        <w:t>in dubio pro duriore ainsi que de l' art. 173 CP . Elle reproche également à la cour cantonale de l'avoir privée de son droit de formuler des offres de preuves, en violation de son droit d'être entendue ( art. 29 al. 2 Cst. ).</w:t>
      </w:r>
    </w:p>
    <w:p>
      <w:r>
        <w:rPr>
          <w:b/>
        </w:rPr>
        <w:t>E. 4.2.1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Cette disposition doit être appliquée conformément à l'adage</w:t>
      </w:r>
    </w:p>
    <w:p>
      <w:r>
        <w:t>in dubio pro duriore . Celui-ci découle du principe de la légalité ( art. 5 al. 1 Cst. et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arrêts 6B_1177/2022 du 21 février 2023 consid. 2.1; 6B_638/2021 du 17 août 2022 consid. 2.1.1).</w:t>
      </w:r>
    </w:p>
    <w:p>
      <w:r>
        <w:rPr>
          <w:b/>
        </w:rPr>
        <w:t>E. 4.2.2</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sur une non-entrée en matière, le Tribunal fédéral, dont le pouvoir de cognition est limité à l'arbitraire selon l' art. 97 al. 1 LTF , n'examine pas si les constatations de fait de l'autorité précédente sont arbitraires, mais si celle-ci s'est arbitrairement écartée d'un moyen de preuve clair ou, à l'inverse, a tenu arbitrairement un fait comme clairement établi ( ATF 143 IV 241 consid. 2.3.2; arrêts 6B_1177/2022 précité consid. 2.2; 6B_488/2021 du 22 décembre 2021 consid. 5.1). Les critiques de nature appellatoire sont irrecevables ( ATF 145 IV 154 consid. 1.1).</w:t>
      </w:r>
    </w:p>
    <w:p>
      <w:r>
        <w:rPr>
          <w:b/>
        </w:rPr>
        <w:t>E. 4.3.1</w:t>
      </w:r>
    </w:p>
    <w:p>
      <w:r>
        <w:t>Aux termes de l' art. 173 ch. 1 CP ,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137 IV 313 consid. 2.1.1;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145 IV 462 consid. 4.2.3; 137 IV 313 consid. 2.1.3).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arrêt 6B_777/2022 du 16 mars 2023 consid. 3.1, destiné à la publication).</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 6B_777/2022 précité consid. 3.1).</w:t>
      </w:r>
    </w:p>
    <w:p>
      <w:r>
        <w:rPr>
          <w:b/>
        </w:rPr>
        <w:t>E. 4.3.2</w:t>
      </w:r>
    </w:p>
    <w:p>
      <w:r>
        <w:t>L' art. 173 ch. 2 CP prévoit que l'auteur n'encourt aucune peine s'il prouve que les allégations par lui articulées ou propagées sont conformes à la vérité, ou qu'il avait des raisons sérieuses de les tenir de bonne foi pour vraies. Il résulte de l' art. 173 ch. 2 CP que la bonne foi ne suffit pas; il faut encore que l'auteur ait eu des raisons sérieuses de croire à la véracité de ses allégations ( ATF 124 IV 149 consid. 3b; arrêt 6B_777/2022 précité consid. 3.2).</w:t>
      </w:r>
    </w:p>
    <w:p>
      <w:r>
        <w:t>La preuve de la bonne foi est apportée lorsque l'auteur démontre qu'il a accompli les actes que l'on pouvait exiger de lui pour contrôler la véracité de ce qu'il alléguait. En particulier,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aussi, pour pouvoir valablement invoquer l' art. 173 ch. 2 CP , il doit agir de bonne foi et avoir des raisons suffisantes de concevoir les soupçons qu'il communique à cette autorité (arrêts 6B_1100/2016 du 25 octobre 2017 consid. 1.2; 6B_1225/2014 du 18 janvier 2016 consid. 1.2 et les références citées).</w:t>
      </w:r>
    </w:p>
    <w:p>
      <w:r>
        <w:rPr>
          <w:b/>
        </w:rPr>
        <w:t>E. 4.3.3</w:t>
      </w:r>
    </w:p>
    <w:p>
      <w:r>
        <w:t>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 art. 173 ch. 3 CP ).</w:t>
      </w:r>
    </w:p>
    <w:p>
      <w:r>
        <w:t>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132 IV 112 consid. 3.1; arrêts 6B_1461/2021 du 29 août 2022 consid. 2.1.2; 6B_903/2020 du 10 mars 2021 consid. 5.2).</w:t>
      </w:r>
    </w:p>
    <w:p>
      <w:r>
        <w:rPr>
          <w:b/>
        </w:rPr>
        <w:t>E. 4.3.4</w:t>
      </w:r>
    </w:p>
    <w:p>
      <w:r>
        <w:t>La calomnie est une forme qualifiée de diffamation ( art. 173 CP ),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6B_1040/2022 du 23 août 2023 consid. 3.1.1; 6B_1215/2020 du 22 avril 2021 consid. 3.1; 6B_1254/2019 du 16 mars 2020 consid. 6.1).</w:t>
      </w:r>
    </w:p>
    <w:p>
      <w:r>
        <w:rPr>
          <w:b/>
        </w:rPr>
        <w:t>E. 4.4.1</w:t>
      </w:r>
    </w:p>
    <w:p>
      <w:r>
        <w:t>La cour cantonale a jugé que les accusations formulées par les membres de la fratrie B.B.________, respectivement par E.B.________, dans leurs courriers adressés au TPAE, étaient de nature à porter atteinte à l'honneur de la recourante, de sorte qu'en soi, l' art. 173 ch. 1 CP était susceptible de trouver application.</w:t>
      </w:r>
    </w:p>
    <w:p>
      <w:r>
        <w:t>Il était ainsi constant que, dans leur courrier du 1er décembre 2020, les mis en cause avaient dénoncé, auprès du TPAE, la situation de B.B________, dont l'isolement, provoqué par la recourante, s'apparentait selon eux à une "forme de séquestration" et menaçait son bien-être. Il avait également été tenu pour établi que, dans son courrier du 4 janvier 2021, E.B.________ avait signalé à cette même autorité le danger que, selon elle, la recourante représenterait pour sa fille C.________ (cf. arrêt attaqué, consid. 3.4 p. 7).</w:t>
      </w:r>
    </w:p>
    <w:p>
      <w:r>
        <w:rPr>
          <w:b/>
        </w:rPr>
        <w:t>E. 4.4.2</w:t>
      </w:r>
    </w:p>
    <w:p>
      <w:r>
        <w:t>Pour autant, s'agissant de la dénonciation concernant B.B________, et quand bien même il avait finalement été établi qu'aucun danger n'avait été encouru par ce dernier, il apparaissait que les mis en cause avaient été principalement mus par un intérêt légitime, à savoir la protection de leur père, atteint d'une maladie ayant dégradé son quotidien, se traduisant notamment par son isolement à domicile. Il ne pouvait dès lors pas leur être reprochés de s'être adressés à l'autorité compétente en la matière - et à elle seule - pour lui faire part de leurs inquiétudes.</w:t>
      </w:r>
    </w:p>
    <w:p>
      <w:r>
        <w:t>Il devait en conséquence être retenu que les membres de la fratrie B.B.________ avaient agi de bonne foi, si bien qu'ils devaient être mis au bénéfice de l' art. 173 ch. 2 CP (cf. arrêt attaqué, consid. 3.5 p. 7 s.).</w:t>
      </w:r>
    </w:p>
    <w:p>
      <w:r>
        <w:rPr>
          <w:b/>
        </w:rPr>
        <w:t>E. 4.4.3</w:t>
      </w:r>
    </w:p>
    <w:p>
      <w:r>
        <w:t>Le même raisonnement pouvait être opéré s'agissant du signalement émis par E.B.________ concernant l'enfant C.________.</w:t>
      </w:r>
    </w:p>
    <w:p>
      <w:r>
        <w:t>Même si à l'issue de l'enquête aucune maltraitance n'avait finalement été constatée à l'égard de sa demi-soeur, E.B.________ avait agi en étant principalement préoccupée par le bien-être de l'enfant, alors qu'il avait du reste été établi qu'elle était intervenue après avoir pris conseil auprès du SPMi (cf. arrêt attaqué, consid. 3.6 p. 8 s.).</w:t>
      </w:r>
    </w:p>
    <w:p>
      <w:r>
        <w:rPr>
          <w:b/>
        </w:rPr>
        <w:t>E. 4.5.1</w:t>
      </w:r>
    </w:p>
    <w:p>
      <w:r>
        <w:t>La recourante reproche en substance à la cour cantonale d'avoir arbitrairement omis de prendre en considération le fait que, dans le cadre de l'instruction menée par le TPAE, B.B.________avait catégoriquement contesté avoir subi de mauvais traitements. De même, alors que les mis en cause avaient affirmé au TPAE avoir reçu des messages alarmants de la part de leur père et qu'au contraire, elle aurait pour sa part démontré que, dans ses messages à ses enfants majeurs, son époux se serait montré rassurant, la recourante se plaint qu'aucune instruction n'avait été menée par le Ministère public quant au contenu de ces messages.</w:t>
      </w:r>
    </w:p>
    <w:p>
      <w:r>
        <w:rPr>
          <w:b/>
        </w:rPr>
        <w:t>E. 4.5.2</w:t>
      </w:r>
    </w:p>
    <w:p>
      <w:r>
        <w:t>Pour autant, ces aspects ne sont pas encore susceptibles de rendre vraisemblable que, par leur courrier au TPAE, les mis en cause auraient principalement agi dans le but du dire du mal de la recourante, et non dans celui de protéger leur père, comme ils l'avaient constamment soutenu dans le cadre de la procédure menée par l'autorité de protection de l'adulte. La recourante ne parvient ainsi pas à démontrer, en référence à l' art. 173 ch. 3 CP , qu'il était exclu pour les mis en cause de faire valoir les preuves libératoires prévues à l' art. 173 ch. 2 CP , et en particulier de démontrer leur bonne foi ainsi que l'existence de raisons sérieuses de croire à la véracité de leurs allégations.</w:t>
      </w:r>
    </w:p>
    <w:p>
      <w:r>
        <w:t>A cet égard, la cour cantonale pouvait sans arbitraire se référer aux déclarations de B.B________, recueillies par le TPAE, selon lesquelles, dans le courant de l'année 2020, la pathologie dont il était atteint avait compliqué son quotidien, notamment au niveau de sa mobilité. En période de pandémie, il était ainsi resté cloîtré chez lui, sans voir ses enfants majeurs. La seule fois où ces derniers étaient venus lui rendre visite, ils n'avaient pas pu entrer dans le domicile, la recourante s'étant interposée. En outre, par moments, il avait exprimé des "ras-le-bol", l'amenant à dire "qu'il ne souhaitait plus être là" (cf. arrêt attaqué, consid. 3.5 p. 7 s.).</w:t>
      </w:r>
    </w:p>
    <w:p>
      <w:r>
        <w:t>La cour cantonale pouvait ainsi valablement estimer que, dans ces circonstances et au regard du fait qu'il existait un conflit avec la recourante depuis plusieurs années - empêchant les mis en cause de directement s'enquérir de la situation auprès d'elle -, il ne saurait leur être reproché de s'être, de bonne foi, inquiétés pour le bien-être de leur père, dont le quotidien s'était dégradé. On ne discernait pas, dans leur démarche, une volonté de porter atteinte à la considération de la recourante, mais plutôt de faire cesser son prétendu comportement, perçu comme répréhensible, de sorte qu'une intention de nuire faisait manifestement défaut (cf. arrêt attaqué, consid. 3.5 p. 8).</w:t>
      </w:r>
    </w:p>
    <w:p>
      <w:r>
        <w:rPr>
          <w:b/>
        </w:rPr>
        <w:t>E. 4.6</w:t>
      </w:r>
    </w:p>
    <w:p>
      <w:r>
        <w:t>Le même constat doit être opéré</w:t>
      </w:r>
    </w:p>
    <w:p>
      <w:r>
        <w:t>mutatis mutandis s'agissant du signalement concernant l'enfant C.________.</w:t>
      </w:r>
    </w:p>
    <w:p>
      <w:r>
        <w:t>Quand bien même, comme le rappelle la recourante, son époux avait nié avoir demandé à sa fille E.B.________ de signaler la situation de son autre fille C.________ à l'autorité de protection de l'enfant, il n'y a rien d'arbitraire à considérer que cet élément ne laissait pas apparaître un dessein de nuire à la recourante. Comme l'a relevé la cour cantonale, si telle avait été l'intention de la mise en cause, sa démarche aurait été entreprise depuis un certain temps, le conflit entre les intéressés ayant été latent depuis une dizaine d'années. Or ce n'était qu'à l'ouverture de la procédure de protection en faveur de B.B.________que la mise en cause avait agi.</w:t>
      </w:r>
    </w:p>
    <w:p>
      <w:r>
        <w:t>Il ne pouvait dès lors pas non plus être reproché à E.B.________ de s'être adressée aux services compétents pour connaître de ses craintes quant à la situation de sa demi-soeur, si bien que l' art. 173 ch. 2 CP trouvait également application concernant les propos tenus dans son courrier du 4 janvier 2021 (cf. arrêt attaqué, consid. 3.6 p. 8 s.).</w:t>
      </w:r>
    </w:p>
    <w:p>
      <w:r>
        <w:rPr>
          <w:b/>
        </w:rPr>
        <w:t>E. 4.7</w:t>
      </w:r>
    </w:p>
    <w:p>
      <w:r>
        <w:t>Au surplus, l'infraction de calomnie, en tant que forme qualifiée de la diffamation, n'entre pas en considération, étant observé qu'aucun élément ne laisse penser en l'espèce que les mis en cause avaient connaissance de la fausseté de leurs allégations.</w:t>
      </w:r>
    </w:p>
    <w:p>
      <w:r>
        <w:rPr>
          <w:b/>
        </w:rPr>
        <w:t>E. 4.8</w:t>
      </w:r>
    </w:p>
    <w:p>
      <w:r>
        <w:t>Cela étant observé, la cour cantonale n'a pas arbitrairement écarté des moyens de preuves pertinents, ni n'a dès lors violé le principe</w:t>
      </w:r>
    </w:p>
    <w:p>
      <w:r>
        <w:t>in dubio pro duriore , ou d'une autre manière le droit fédéral, en estimant qu'il n'y avait pas lieu d'entrer en matière sur les plaintes de la recourante.</w:t>
      </w:r>
    </w:p>
    <w:p>
      <w:r>
        <w:rPr>
          <w:b/>
        </w:rPr>
        <w:t>E. 5</w:t>
      </w:r>
    </w:p>
    <w:p>
      <w:r>
        <w:t>Au vu de ce qui précède, le recours doit être rejeté dans la mesure de sa recevabilité.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