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7B_10/2021 vom 26. Juli 2023</w:t>
      </w:r>
    </w:p>
    <w:p>
      <w:r>
        <w:t>Bundesgericht, 2023-07-26, FR</w:t>
      </w:r>
    </w:p>
    <w:p>
      <w:r>
        <w:rPr>
          <w:b/>
        </w:rPr>
        <w:t xml:space="preserve">Quelle: </w:t>
      </w:r>
      <w:r>
        <w:t>https://mcp.opencaselaw.ch/entscheid/bger_7B_10_2021</w:t>
      </w:r>
    </w:p>
    <w:p>
      <w:r>
        <w:t>FR: TF 7B_10/2021 du 26 juillet 2023</w:t>
      </w:r>
    </w:p>
    <w:p>
      <w:r>
        <w:t>IT: TF 7B_10/2021 del 26 luglio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1.1.1</w:t>
      </w:r>
    </w:p>
    <w:p>
      <w:r>
        <w:t>La notion d'influence du jugement pénal sur les prétentions civiles est stricte.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 Dès lors que la décision attaquée ne contient rien qui puisse lui être opposé sur le plan civil, il y a lieu d'admettre que la sentence n'a pas d'effet sur le jugement de ses prétentions civiles ( ATF 127 IV 185 consid. 1a; 120 IV 38 consid. 2c).</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l'action civile par adhésion à la procédure pénale (arrêts 6B_1244/2021 du 12 avril 2022 consid. 1.3.3; 6B_266/2021 du 21 octobre 2021 consid. 2.1). Un devoir de motivation accrue s'impose également lorsque les prétentions civiles font l'objet d'une procédure arbitrale pendante en Suisse ou à l'étranger, respectivement d'une convention d'arbitrage (cf. art. 61 CPC et 7 LDIP).</w:t>
      </w:r>
    </w:p>
    <w:p>
      <w:r>
        <w:rPr>
          <w:b/>
        </w:rPr>
        <w:t>E. 1.1.2</w:t>
      </w:r>
    </w:p>
    <w:p>
      <w:r>
        <w:t>Dans le cas où la partie plaignante impute à plusieurs personnes des infractions distinctes, il lui incombe de préciser en quoi consiste le dommage en relation avec chaque infraction alléguée et son auteur (arrêt 6B_516/2022 du 2 novembre 2022 consid. 1.1 et la réf. citée). Lorsque le recours émane de plusieurs parties plaignantes qui procèdent ensemble, elles doivent chacune exposer de manière détaillée et individuellement quel est le dommage prétendument subi et quel en est le montant (arrêts 6B_516/2022 précité consid. 1.1; 6B_21/2022 du 24 mars 2022; 6B_103/2021 du 26 avril 2021 consid. 1.1; 6B_1026/2019 du 3 octobre 2019 consid. 2.1).</w:t>
      </w:r>
    </w:p>
    <w:p>
      <w:r>
        <w:rPr>
          <w:b/>
        </w:rPr>
        <w:t>E. 1.2</w:t>
      </w:r>
    </w:p>
    <w:p>
      <w:r>
        <w:t>En l'espèce, la cour cantonale a constaté que les faits en cause et les prétentions civiles y relatives faisaient ou avaient fait l'objet de litispendances à l'étranger, dont certaines avaient abouti à une sentence arbitrale ou à un jugement pénal. Ainsi, en ce qui concernait le premier volet, les recourantes étaient opposées aux intimés 3 et 4 dans une procédure arbitrale internationale pendante à Stockholm, fondée sur une convention d'arbitrage du 6 décembre 2017. Dans ce cadre, les recourantes leur réclamaient une somme de 17'200'000 USD pour la réparation de leur dommage. Les prétentions civiles en lien avec ce premier volet avaient par ailleurs fait l'objet du jugement rendu par défaut le 26 avril 2017 par la Cour pénale I.________, par lequel l'intimé 3 avait été condamné à restituer 4'400'000 USD à la recourante 1, tandis que l'intimé 4 avait été astreint à lui rembourser 12'800'000 USD. S'agissant du second volet, une sentence avait également été rendue par un juge unique à Londres le 22 mai 2020, dans le cadre d'une procédure arbitrale opposant la recourante 1 à un tiers (cf. arrêt attaqué, ad "En fait" let. B.I.e, B.I.f et B.I.g p. 3 s.).</w:t>
      </w:r>
    </w:p>
    <w:p>
      <w:r>
        <w:t>Aussi, l'autorité précédente a relevé que les intérêts des recourantes étaient largement préservés et pourraient l'être également par des séquestres civils, de sorte que ces dernières ne justifiaient pas d'un intérêt prépondérant à obtenir un jugement pénal en Suisse (cf. arrêt attaqué, consid. 4.2 p. 16).</w:t>
      </w:r>
    </w:p>
    <w:p>
      <w:r>
        <w:rPr>
          <w:b/>
        </w:rPr>
        <w:t>E. 1.3</w:t>
      </w:r>
    </w:p>
    <w:p>
      <w:r>
        <w:t>Les recourantes font valoir que les infractions commises par les intimés leur auraient causé un dommage total de 17'700'050 USD. Dans le cadre du premier volet, le stratagème mis en oeuvre aurait conduit à l'appropriation illicite d'une somme de 17'200'000 USD de fonds publics appartenant à la recourante 1, transférés sur des comptes détenus en Suisse par les prévenus avant d'être "ventilés" vers l'étranger. Dans le cadre du second volet, l'intimé 2 aurait accepté une rétrocession illicite d'un montant de 500'050 USD versé sur son compte en Suisse en contrepartie de la conclusion, pour le compte de la recourante 1, d'un contrat fictif de courtage en faveur d'un tiers.</w:t>
      </w:r>
    </w:p>
    <w:p>
      <w:r>
        <w:t>À ces égards, les recourantes précisent que les procédures étrangères ne permettraient pas de préserver leurs prétentions civiles, dans la mesure où elles ne viseraient pas l'ensemble des prévenus dans leur volet respectif. La procédure arbitrale pendante à Stockholm ne concernerait en effet que le premier volet et l'intimé 2 n'y serait pas partie, tandis que la procédure arbitrale pendante à Londres aurait pour objet le second volet et qu'aucun des recourants n'y serait partie. Enfin, le jugement pénal de la Cour pénale I.________, rendu par défaut, serait annulable sur simple opposition.</w:t>
      </w:r>
    </w:p>
    <w:p>
      <w:r>
        <w:rPr>
          <w:b/>
        </w:rPr>
        <w:t>E. 1.4.1</w:t>
      </w:r>
    </w:p>
    <w:p>
      <w:r>
        <w:t>Par leur argumentation, les recourantes se bornent à soutenir que le classement de la procédure pénale en Suisse rendrait plus difficile le recouvrement de leurs prétentions civiles, dans la mesure où il "empêcherait l'identification d'avoirs confiscables" et compromettrait "fortement la réparation de leur dommage". Ce faisant, elles échouent à démontrer que la décision attaquée peut avoir des effets sur le jugement de leurs prétentions civiles, et non uniquement sur le recouvrement de celles-ci, étant relevé qu'on ne voit pas en quoi les motifs d'opportunité et de proportionnalité ayant fondé le classement pourraient leur être opposés sur le plan civil.</w:t>
      </w:r>
    </w:p>
    <w:p>
      <w:r>
        <w:t>L'argumentation des recourantes dénote en définitive que les démarches entreprises sur le plan pénal visent uniquement à faciliter leurs actions sur le plan civil, ce qui n'est pas admissible (cf. consid. 1.1.1</w:t>
      </w:r>
    </w:p>
    <w:p>
      <w:r>
        <w:t>supra ; cf. également arrêts 6B_413/2022 du 5 octobre 2022 consid. 2.3.1; 6B_987/2020 du 4 mars 2021 consid. 1.1; 6B_741/2020 du 11 novembre 2020 consid. 2.1).</w:t>
      </w:r>
    </w:p>
    <w:p>
      <w:r>
        <w:rPr>
          <w:b/>
        </w:rPr>
        <w:t>E. 1.4.2</w:t>
      </w:r>
    </w:p>
    <w:p>
      <w:r>
        <w:t>Pour le surplus, les recourantes échouent à établir, à satisfaction de droit, que les différentes procédures étrangères ne font pas obstacle à une action civile par adhésion à la procédure pénale suisse (cf. consid. 1.1.1</w:t>
      </w:r>
    </w:p>
    <w:p>
      <w:r>
        <w:t>supra ).</w:t>
      </w:r>
    </w:p>
    <w:p>
      <w:r>
        <w:t>Le fait que le jugement du 26 avril 2017 de la Cour pénale I.________ ait été rendu par défaut n'implique ainsi pas forcément, comme le soutiennent les recourantes, qu'il soit annulable en tout temps "sur simple opposition" et, partant, que le principe</w:t>
      </w:r>
    </w:p>
    <w:p>
      <w:r>
        <w:t>ne bis in idem soit inapplicable. En outre, les recourantes ne précisent pas qu'elles auraient été empêchées de faire valoir certaines prétentions civiles dans la procédure arbitrale en Suède. Elles n'indiquent finalement pas avoir essayé d'attraire l'intimé 2 aux procédures arbitrales pendantes à Londres et à Stockholm, ni que ce dernier leur aurait causé un dommage dans le cadre du premier volet.</w:t>
      </w:r>
    </w:p>
    <w:p>
      <w:r>
        <w:rPr>
          <w:b/>
        </w:rPr>
        <w:t>E. 1.4.3</w:t>
      </w:r>
    </w:p>
    <w:p>
      <w:r>
        <w:t>Au reste, les recourantes ne proposent aucun développement susceptible de démontrer quel est le dommage subi par chacune d'elles, individuellement, dans les deux volets litigieux (cf. consid. 1.1.2</w:t>
      </w:r>
    </w:p>
    <w:p>
      <w:r>
        <w:t>supra ).</w:t>
      </w:r>
    </w:p>
    <w:p>
      <w:r>
        <w:rPr>
          <w:b/>
        </w:rPr>
        <w:t>E. 1.5</w:t>
      </w:r>
    </w:p>
    <w:p>
      <w:r>
        <w:t>Les recourantes échouent dès lors à démontrer leur qualité pour recourir sur le fond selon l'art. 81 al. 1 let. a et b ch. 5 LTF.</w:t>
      </w:r>
    </w:p>
    <w:p>
      <w:r>
        <w:rPr>
          <w:b/>
        </w:rPr>
        <w:t>E. 2</w:t>
      </w:r>
    </w:p>
    <w:p>
      <w:r>
        <w:t>L'hypothèse visée à l'art. 81 al. 1 let. b ch. 6 LTF n'entre pas en considération, les recourantes ne soulevant aucun grief quant à leur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w:t>
      </w:r>
    </w:p>
    <w:p>
      <w:r>
        <w:rPr>
          <w:b/>
        </w:rPr>
        <w:t>E. 3.1</w:t>
      </w:r>
    </w:p>
    <w:p>
      <w:r>
        <w:t>Invoquant une violation du principe de la bonne foi ( art. 3 al. 2 let. a et b CPP , 5 al. 3 et 9 Cst.), les recourantes reprochent en substance au ministère public d'avoir décidé de classer la procédure, alors que le premier magistrat en charge du dossier aurait manifesté à plusieurs reprises son intention de poursuivre l'instruction.</w:t>
      </w:r>
    </w:p>
    <w:p>
      <w:r>
        <w:t>Ce faisant, les recourantes ne se plaignent pas d'une violation de leurs droits de partie équivalant à un déni de justice formel, mais visent à remettre en cause l'ordonnance de classement du 29 avril 2021 de manière à obtenir ce qu'elles réclament au fond, soit la poursuite de l'instruction. Leur grief est dès lors irrecevable.</w:t>
      </w:r>
    </w:p>
    <w:p>
      <w:r>
        <w:rPr>
          <w:b/>
        </w:rPr>
        <w:t>E. 3.2</w:t>
      </w:r>
    </w:p>
    <w:p>
      <w:r>
        <w:t>Les recourantes ne formulent au surplus aucun autre moyen susceptible de constituer une violation de leurs droits de partie équivalent à un déni de justice formel, à tout le moins pas par une motivation conforme en la matière (cf. art. 42 al. 2 et 106 al. 2 LTF).</w:t>
      </w:r>
    </w:p>
    <w:p>
      <w:r>
        <w:rPr>
          <w:b/>
        </w:rPr>
        <w:t>E. 4</w:t>
      </w:r>
    </w:p>
    <w:p>
      <w:r>
        <w:t>Vu ce qui précède, le recours doit être déclaré irrecevable. Les recourantes, qui succombent, supporteront les frais judiciaires solidairement entre elles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