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7B_1093/2025 vom 15. Dezember 2025</w:t>
      </w:r>
    </w:p>
    <w:p>
      <w:r>
        <w:t>Bundesgericht, 2025-12-15, DE</w:t>
      </w:r>
    </w:p>
    <w:p>
      <w:r>
        <w:rPr>
          <w:b/>
        </w:rPr>
        <w:t xml:space="preserve">Quelle: </w:t>
      </w:r>
      <w:r>
        <w:t>https://mcp.opencaselaw.ch/entscheid/bger_7B_1093_2025</w:t>
      </w:r>
    </w:p>
    <w:p>
      <w:r>
        <w:t>FR: TF 7B_1093/2025 du 15 décembre 2025</w:t>
      </w:r>
    </w:p>
    <w:p>
      <w:r>
        <w:t>IT: TF 7B_1093/2025 del 15 dicembre 2025</w:t>
      </w:r>
    </w:p>
    <w:p>
      <w:pPr>
        <w:pStyle w:val="Heading2"/>
      </w:pPr>
      <w:r>
        <w:t>Erwägungen</w:t>
      </w:r>
    </w:p>
    <w:p>
      <w:r>
        <w:rPr>
          <w:b/>
        </w:rPr>
        <w:t>E. 1</w:t>
      </w:r>
    </w:p>
    <w:p>
      <w:r>
        <w:t>Mit Entscheid vom 10. September 2025 trat das Obergericht des Kantons Aargau mangels fristgerechter Leistung der Sicherheit gemäss Art. 383 StPO nicht auf die Beschwerde des Beschwerdeführers gegen die Nichtanhandnahmeverfügung der Staatsanwaltschaft Lenzburg-Aarau vom 14. April 2025 ein. Der Beschwerdeführer gelangte dagegen mit Eingabe vom 29. September 2025 (Postaufgabe) an das Obergericht, das diese in Anwendung von Art. 48 Abs. 3 BGG als mögliche Beschwerde an das Bundesgericht übermittelte. Die Eröffnung des Verfahrens wurde dem Beschwerdeführer mit Eingangsanzeige vom 16. Oktober 2025 angezeigt.</w:t>
      </w:r>
    </w:p>
    <w:p>
      <w:r>
        <w:rPr>
          <w:b/>
        </w:rPr>
        <w:t>E. 2</w:t>
      </w:r>
    </w:p>
    <w:p>
      <w:r>
        <w:t>Die Eingabe vom 29. September 2025 erfüllt offensichtlich nicht die Anforderungen an die Begründung einer Beschwerde an das Bundesgericht ( Art. 42 Abs. 2 und Art. 106 Abs. 2 BGG ; BGE 148 IV 356 E. 2.1, 39 E. 2.3.5; 142 III 364 E. 2.4). Der Beschwerdeführer legt nicht ansatzweise dar, inwiefern die Vorinstanz mit ihrem Entscheid vom 10. September 2025 Recht im Sinne von Art. 95 BGG verletzt haben soll.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